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“Implementação de contrato para vigilância patrimonial para a Câmara Municipal”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0156 – Governança e Ações de Aprimoramento das Ações do Poder Legislativo,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0156 – Governança e Ações de Aprimoramento das Ações do Poder Legislativo,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6w17lmuouvz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0156 – Governança e Ações de Aprimoramento das Ações do Poder Legislativo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Custeio de contrato para vigilância patrimonial para a Câmara Municipal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 contrato tem como objetivo fortalecer a segurança da Câmara Municipal, suprindo a atual ausência de profissionais especializados responsáveis por esse serviço essencial.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Câmara Municipal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7ms5j7b2uvbe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0916 – Niterói por Elas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custeio da contratação de vigilância patrimonial para a Câmara Municipal de Niterói é necessária para garantir a segurança de seus bens, instalações e serviços, Além de proteger o patrimônio público contra furtos e depredações, a medida assegura a integridade de vereadores, servidores e cidadãos que frequentam a Casa Legislativa, garantindo a continuidade das atividades parlamentares em ambiente seguro.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0LfP+fIpbm+HXY6tWSobkehOaQ==">CgMxLjAyDmguNncxN2xtdW91dnpzMg5oLjdtczVqN2IydXZiZTgAciExV3gxZFN3WnA3Ty00QndVU001WEcxMy04eUt0cDZrV0g=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2025-09-30T19:49:00Z</dcterms:created>
  <dc:creator>Oswaldo Souza de Castro</dc:creator>
</cp:coreProperties>
</file>