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“Implementação de contrato para vigilância patrimonial para a Câmara Municipal”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0156 – Governança e Ações de Aprimoramento das Ações do Poder Legislativo,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0156 – Governança e Ações de Aprimoramento das Ações do Poder Legislativo,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pe8ros75vh16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0156 – Governança e Ações de Aprimoramento das Ações do Poder Legislativo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Implementação de contrato para vigilância patrimonial para a Câmara Municipal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 contrato tem como objetivo fortalecer a segurança da Câmara Municipal, suprindo a atual ausência de profissionais especializados responsáveis por esse serviço essencial.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Câmara Municipal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poefhpqswksg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–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0916 – Niterói por Elas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contratação de vigilância patrimonial para a Câmara Municipal de Niterói é necessária para garantir a segurança de seus bens, instalações e serviços, Além de proteger o patrimônio público contra furtos e depredações, a medida assegura a integridade de vereadores, servidores e cidadãos que frequentam a Casa Legislativa, garantindo a continuidade das atividades parlamentares em ambiente seguro.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VhDhCxgNqPz3lbfxj4iwVX3/rw==">CgMxLjAyDmgucGU4cm9zNzV2aDE2Mg5oLnBvZWZocHFzd2tzZzgAciExNUxWUVJRSS14eGtNWlMzT1Q5OVc0MmoxYlc1NFd6alA=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2025-09-30T19:45:00Z</dcterms:created>
  <dc:creator>Oswaldo Souza de Castro</dc:creator>
</cp:coreProperties>
</file>