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“Exploradores da Cultura”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0135 – Educação para Todos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xgs95xi9r9aq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Exploradores da Cultura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Celebração de convênio/aluguel com empresas de transporte para garantir às crianças matriculadas nas Unidades Municipais de Educação Infantil (UMEIs) o acesso às atividades pedagógicas e culturais externas ao ambiente escolar.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Ônibus Conveniados/alugados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R$ 400.000,00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75fgsrdzri64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R$ 1.600.000,00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presente dispositivo visa fortalecer a política pública de valorização da Educação Infantil em Niterói, garantindo que as crianças matriculadas nas Unidades Municipais de Educação Infantil (UMEIs) tenham acesso a atividades pedagógicas externas, de caráter cultural, esportivo e ambiental.  Trata-se de medida de justiça social, pedagógica e cultural, assegurando que a escola pública municipal de Niterói possa oferecer às crianças oportunidades de contato com museus, teatros, parques e atividades externas, fomentando a formação integral do cidadão desde a infância.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71089083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CGO46LZmkkZV9ZbxiFSkDX5iHQ==">CgMxLjAyDmgueGdzOTV4aTlyOWFxMg5oLjc1ZmdzcmR6cmk2NDgAciExdGFWXzF2cGVnazdQRnhVNGJnVkN3dDlFQWhzWWtQem4=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2025-09-26T14:35:00Z</dcterms:created>
  <dc:creator>Oswaldo Souza de Castro</dc:creator>
</cp:coreProperties>
</file>