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“Exploradores da Cultura”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0135 –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0135 – Educação para Todos,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0135 – Educação para Todos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yghejfydr225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Exploradores da Cultura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Garantir às crianças matriculadas nas Unidades Municipais de Educação Infantil (UMEIs) o acesso às atividades pedagógicas e culturais externas ao ambiente escolar.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Ônibus Adquiridos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c4isn8luc24q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R$ 2.000.000,00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O presente dispositivo visa fortalecer a política pública de valorização da Educação Infantil em Niterói, garantindo que as crianças matriculadas nas Unidades Municipais de Educação Infantil (UMEIs) tenham acesso a atividades pedagógicas externas, de caráter cultural, esportivo e ambiental.  Trata-se de medida de justiça social, pedagógica e cultural, assegurando que a escola pública municipal de Niterói possa oferecer às crianças oportunidades de contato com museus, teatros, parques e atividades externas, fomentando a formação integral do cidadão desde a infância.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71089083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0zif+aXvqL+4aRfNl2c0P8EIxg==">CgMxLjAyDmgueWdoZWpmeWRyMjI1Mg5oLmM0aXNuOGx1YzI0cTgAciExbm04UHNGTTB3cGg3ZWltNnM1V3lWcm1fTGxsR2FVR24=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2025-09-26T14:20:00Z</dcterms:created>
  <dc:creator>Oswaldo Souza de Castro</dc:creator>
</cp:coreProperties>
</file>