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“Centro de Referência de altas Habilidades Superdotação na Zona Norte implementado e mantido.”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0135 -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0135 - Educação para Todos do Projeto de Lei 000361/2025, conforme tabela abaixo: </w:t>
      </w:r>
    </w:p>
    <w:tbl>
      <w:tblPr>
        <w:tblStyle w:val="Table1"/>
        <w:tblW w:w="14445.0" w:type="dxa"/>
        <w:jc w:val="left"/>
        <w:tblInd w:w="-25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15"/>
        <w:gridCol w:w="840"/>
        <w:gridCol w:w="1320"/>
        <w:gridCol w:w="165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915"/>
            <w:gridCol w:w="840"/>
            <w:gridCol w:w="1320"/>
            <w:gridCol w:w="165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4.47753906249994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0135 - Educação para Todos 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TÍTULO DO PRODUTO:</w:t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after="0" w:lineRule="auto"/>
              <w:ind w:left="0" w:firstLine="0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Centro de Referência de Altas Habilidades Superdotação na Zona Norte implementado e mantido.</w:t>
            </w:r>
          </w:p>
        </w:tc>
      </w:tr>
      <w:tr>
        <w:trPr>
          <w:cantSplit w:val="0"/>
          <w:trHeight w:val="1051.42089843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shd w:fill="ffffff" w:val="clear"/>
              <w:spacing w:after="0" w:before="0" w:line="360" w:lineRule="auto"/>
              <w:jc w:val="both"/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color w:val="0a0a0a"/>
                <w:sz w:val="18"/>
                <w:szCs w:val="18"/>
                <w:rtl w:val="0"/>
              </w:rPr>
              <w:t xml:space="preserve">Implementar e manter o Centro de Referência de Altas Habilidades/Superdotação na Zona Norte como política pública voltada à identificação, atendimento e desenvolvimento integral de estudantes com altas habilidades, garantindo o acesso a recursos pedagógicos especializados, apoio psicossocial e formação continuada para educadores, com foco na equidade e valorização do potencial humano.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Executiva do Prefeito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 JOVEM;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 ANTIRRACISTA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7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6jbv7kvy3gre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8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0010 -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R$ 300.000,00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0010 -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R$ 200.000,00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1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3">
      <w:pPr>
        <w:shd w:fill="ffffff" w:val="clear"/>
        <w:spacing w:after="240" w:before="240" w:line="360" w:lineRule="auto"/>
        <w:ind w:firstLine="720"/>
        <w:jc w:val="both"/>
        <w:rPr>
          <w:b w:val="1"/>
          <w:sz w:val="20"/>
          <w:szCs w:val="20"/>
        </w:rPr>
      </w:pPr>
      <w:r w:rsidDel="00000000" w:rsidR="00000000" w:rsidRPr="00000000">
        <w:rPr>
          <w:color w:val="0a0a0a"/>
          <w:rtl w:val="0"/>
        </w:rPr>
        <w:t xml:space="preserve">A implementação de um Centro de Referência de Altas Habilidades/Superdotação na Zona Norte responde à necessidade de ampliar o acesso a serviços educacionais especializados para estudantes com altas habilidades em regiões historicamente menos atendidas. A superdotação, muitas vezes invisibilizada, exige políticas públicas específicas que promovam a identificação precoce e o acompanhamento contínuo desses alunos, a fim de evitar a evasão escolar, o subaproveitamento de talentos e o comprometimento do bem-estar emocional. O centro atuará como polo de referência para atendimento direto, formação de professores, orientação às famílias e articulação com escolas da rede municipal, promovendo uma educação inclusiva e de qualidade. A descentralização desse serviço representa um avanço na democratização do acesso à educação especializada e no reconhecimento da diversidade de talentos existentes no município.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line="279" w:lineRule="auto"/>
        <w:ind w:left="567" w:firstLine="0"/>
        <w:jc w:val="right"/>
        <w:rPr>
          <w:sz w:val="24"/>
          <w:szCs w:val="24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200" w:line="360" w:lineRule="auto"/>
        <w:jc w:val="center"/>
        <w:rPr/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-85716</wp:posOffset>
          </wp:positionV>
          <wp:extent cx="828675" cy="1018580"/>
          <wp:effectExtent b="0" l="0" r="0" t="0"/>
          <wp:wrapNone/>
          <wp:docPr id="7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9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A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8uXsTHUM7Qupe1sbci5JnL1xSBQ==">CgMxLjAyDmguNmpidjdrdnkzZ3JlMg5oLjlvamhnc2gyMTUzeDgAciExZTd4OHY4MHp0eHBac3NIUE1XMzUzaXlRZ2JPQlFiRUw=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