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</w:t>
      </w:r>
      <w:r w:rsidR="00C9049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CA727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CA7273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EVENTO DA LUTA OLÍMPICA </w:t>
      </w:r>
      <w:r w:rsidR="00BA440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BOXE</w:t>
      </w:r>
      <w:r w:rsidR="00CA7273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664C81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REALIZADO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</w:t>
      </w:r>
      <w:r w:rsidR="00CA7273" w:rsidRPr="00CA7273">
        <w:rPr>
          <w:rFonts w:ascii="Tahoma" w:hAnsi="Tahoma" w:cs="Tahoma"/>
          <w:b/>
          <w:sz w:val="18"/>
          <w:szCs w:val="18"/>
        </w:rPr>
        <w:t>0137 - CIDADE DO ESPORTE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CA7273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CA7273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CA7273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EVENTO DA LUTA OLÍMPICA </w:t>
      </w:r>
      <w:r w:rsidR="00BA440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BOXE</w:t>
      </w:r>
      <w:r w:rsidR="00CA7273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REALIZADO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CA7273" w:rsidRPr="00CA7273">
        <w:rPr>
          <w:rFonts w:ascii="Tahoma" w:hAnsi="Tahoma" w:cs="Tahoma"/>
          <w:b/>
          <w:sz w:val="18"/>
          <w:szCs w:val="18"/>
        </w:rPr>
        <w:t>0137 - CIDADE DO ESPORTE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3B262D" w:rsidRDefault="00664C81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CA7273" w:rsidRPr="00CA7273">
              <w:rPr>
                <w:rFonts w:ascii="Tahoma" w:hAnsi="Tahoma" w:cs="Tahoma"/>
                <w:b/>
                <w:sz w:val="18"/>
                <w:szCs w:val="18"/>
              </w:rPr>
              <w:t>CIDADE DO ESPORTE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3B262D" w:rsidRDefault="00CA7273" w:rsidP="00BA4401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CA7273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EVENTO DA LUTA OLÍMPICA </w:t>
            </w:r>
            <w:r w:rsidR="00BA440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BOXE</w:t>
            </w:r>
            <w:r w:rsidRPr="00CA7273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 REALIZADO</w:t>
            </w:r>
          </w:p>
        </w:tc>
      </w:tr>
      <w:tr w:rsidR="007F2912" w:rsidRPr="006579A2" w:rsidTr="00F05104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CA7273" w:rsidP="00C90493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A7273">
              <w:rPr>
                <w:b/>
                <w:sz w:val="16"/>
                <w:szCs w:val="16"/>
              </w:rPr>
              <w:t xml:space="preserve">Realização de eventos esportivos voltados à modalidade olímpica </w:t>
            </w:r>
            <w:r w:rsidR="00C90493">
              <w:rPr>
                <w:b/>
                <w:sz w:val="16"/>
                <w:szCs w:val="16"/>
              </w:rPr>
              <w:t>boxe</w:t>
            </w:r>
            <w:r w:rsidRPr="00CA7273">
              <w:rPr>
                <w:b/>
                <w:sz w:val="16"/>
                <w:szCs w:val="16"/>
              </w:rPr>
              <w:t xml:space="preserve">, com objetivo de promover a prática esportiva, incentivar a formação de novos atletas, </w:t>
            </w:r>
            <w:proofErr w:type="gramStart"/>
            <w:r w:rsidRPr="00CA7273">
              <w:rPr>
                <w:b/>
                <w:sz w:val="16"/>
                <w:szCs w:val="16"/>
              </w:rPr>
              <w:t>ampliar</w:t>
            </w:r>
            <w:proofErr w:type="gramEnd"/>
            <w:r w:rsidRPr="00CA7273">
              <w:rPr>
                <w:b/>
                <w:sz w:val="16"/>
                <w:szCs w:val="16"/>
              </w:rPr>
              <w:t xml:space="preserve"> a participação da população em atividades físicas e fortalecer a imagem de Niterói como cidade de referência no esporte. Os eventos terão caráter competitivo e educativo, com etapas de demonstrações, torneios e atividades de integração social, contemplando atletas de diferentes idades e níveis de experiência</w:t>
            </w:r>
            <w:r w:rsidR="003B262D" w:rsidRPr="00CA7273">
              <w:rPr>
                <w:b/>
                <w:sz w:val="16"/>
                <w:szCs w:val="16"/>
              </w:rPr>
              <w:t>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</w:t>
            </w:r>
            <w:r w:rsidR="00664C81">
              <w:rPr>
                <w:rFonts w:ascii="Tahoma" w:eastAsia="Times New Roman" w:hAnsi="Tahoma" w:cs="Tahoma"/>
                <w:sz w:val="18"/>
                <w:szCs w:val="18"/>
              </w:rPr>
              <w:t>M</w:t>
            </w:r>
            <w:r w:rsidR="005D78C8">
              <w:rPr>
                <w:rFonts w:ascii="Tahoma" w:eastAsia="Times New Roman" w:hAnsi="Tahoma" w:cs="Tahoma"/>
                <w:sz w:val="18"/>
                <w:szCs w:val="18"/>
              </w:rPr>
              <w:t>EL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CA7273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CA7273">
              <w:rPr>
                <w:b/>
                <w:sz w:val="16"/>
                <w:szCs w:val="16"/>
              </w:rPr>
              <w:t>NITERÓI POR ELAS; NITERÓI PRIMEIRA INFÂNCIA; NITERÓI JOVEM; NITERÓI ANTIRRACISTA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7F2912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963542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963542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96354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34.35pt;margin-top:-.85pt;width:.8pt;height:96pt;flip:x;z-index:25167360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5D78C8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96354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5D78C8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96354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5D78C8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5D78C8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7F2912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291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BA4401" w:rsidRDefault="00BA4401" w:rsidP="00BA4401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BA4401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BA4401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811B66" w:rsidRDefault="00BA4401" w:rsidP="00BA440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>
              <w:rPr>
                <w:rFonts w:ascii="Tahoma" w:hAnsi="Tahoma" w:cs="Tahoma"/>
                <w:sz w:val="18"/>
                <w:szCs w:val="18"/>
              </w:rPr>
              <w:t>36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C90493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C90493">
              <w:rPr>
                <w:rFonts w:ascii="Tahoma" w:hAnsi="Tahoma" w:cs="Tahoma"/>
                <w:sz w:val="16"/>
                <w:szCs w:val="16"/>
              </w:rPr>
              <w:t xml:space="preserve"> 400.000</w:t>
            </w:r>
            <w:r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A4401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BA4401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BA4401" w:rsidRPr="00DA19EB" w:rsidRDefault="00BA4401" w:rsidP="00C90493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31CCE" w:rsidRPr="00C90493" w:rsidRDefault="6EB48AD2" w:rsidP="00C90493">
      <w:pPr>
        <w:widowControl w:val="0"/>
        <w:spacing w:after="0" w:line="360" w:lineRule="auto"/>
        <w:jc w:val="both"/>
        <w:rPr>
          <w:rFonts w:ascii="Tahoma" w:eastAsia="Times New Roman" w:hAnsi="Tahoma" w:cs="Tahoma"/>
          <w:b/>
          <w:bCs/>
          <w:color w:val="000000" w:themeColor="text1"/>
        </w:rPr>
      </w:pPr>
      <w:r w:rsidRPr="00C90493">
        <w:rPr>
          <w:rFonts w:ascii="Tahoma" w:eastAsia="Times New Roman" w:hAnsi="Tahoma" w:cs="Tahoma"/>
          <w:b/>
          <w:bCs/>
          <w:color w:val="000000" w:themeColor="text1"/>
        </w:rPr>
        <w:lastRenderedPageBreak/>
        <w:t xml:space="preserve">JUSTIFICATIVA: </w:t>
      </w:r>
    </w:p>
    <w:p w:rsidR="00C90493" w:rsidRP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 xml:space="preserve">A presente emenda aditiva visa fomentar a realização de eventos de </w:t>
      </w:r>
      <w:r w:rsidRPr="00C90493">
        <w:rPr>
          <w:rStyle w:val="Forte"/>
          <w:rFonts w:ascii="Tahoma" w:hAnsi="Tahoma" w:cs="Tahoma"/>
        </w:rPr>
        <w:t>Boxe Olímpico</w:t>
      </w:r>
      <w:r w:rsidRPr="00C90493">
        <w:rPr>
          <w:rFonts w:ascii="Tahoma" w:hAnsi="Tahoma" w:cs="Tahoma"/>
        </w:rPr>
        <w:t xml:space="preserve">, modalidade reconhecida pelo Comitê Olímpico Internacional desde 1904 e consolidada como uma das mais tradicionais dos Jogos Olímpicos modernos. O incentivo à prática desta modalidade no município de Niterói contribui para </w:t>
      </w:r>
      <w:proofErr w:type="gramStart"/>
      <w:r w:rsidRPr="00C90493">
        <w:rPr>
          <w:rFonts w:ascii="Tahoma" w:hAnsi="Tahoma" w:cs="Tahoma"/>
        </w:rPr>
        <w:t>a formação integral de jovens, adultos e idosos, promovendo saúde física, mental e social, além do desenvolvimento de habilidades</w:t>
      </w:r>
      <w:proofErr w:type="gramEnd"/>
      <w:r w:rsidRPr="00C90493">
        <w:rPr>
          <w:rFonts w:ascii="Tahoma" w:hAnsi="Tahoma" w:cs="Tahoma"/>
        </w:rPr>
        <w:t xml:space="preserve"> como disciplina, autoconfiança e cidadania.</w:t>
      </w:r>
    </w:p>
    <w:p w:rsidR="00C90493" w:rsidRP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 xml:space="preserve">O esporte é um direito social assegurado pela </w:t>
      </w:r>
      <w:r w:rsidRPr="00C90493">
        <w:rPr>
          <w:rStyle w:val="Forte"/>
          <w:rFonts w:ascii="Tahoma" w:hAnsi="Tahoma" w:cs="Tahoma"/>
        </w:rPr>
        <w:t>Constituição Federal de 1988</w:t>
      </w:r>
      <w:r w:rsidRPr="00C90493">
        <w:rPr>
          <w:rFonts w:ascii="Tahoma" w:hAnsi="Tahoma" w:cs="Tahoma"/>
        </w:rPr>
        <w:t xml:space="preserve">, em seu artigo 217, que estabelece o dever do Estado de fomentar práticas desportivas formais e não formais como forma de promoção do desenvolvimento humano e da integração social. Nesse mesmo sentido, a </w:t>
      </w:r>
      <w:r w:rsidRPr="00C90493">
        <w:rPr>
          <w:rStyle w:val="Forte"/>
          <w:rFonts w:ascii="Tahoma" w:hAnsi="Tahoma" w:cs="Tahoma"/>
        </w:rPr>
        <w:t>Lei nº 9.615/1998 (Lei Pelé)</w:t>
      </w:r>
      <w:r w:rsidRPr="00C90493">
        <w:rPr>
          <w:rFonts w:ascii="Tahoma" w:hAnsi="Tahoma" w:cs="Tahoma"/>
        </w:rPr>
        <w:t xml:space="preserve"> define a política nacional do esporte, incentivando ações públicas que democratizem o acesso à prática esportiva em todas as idades e condições sociais. O </w:t>
      </w:r>
      <w:r w:rsidRPr="00C90493">
        <w:rPr>
          <w:rStyle w:val="Forte"/>
          <w:rFonts w:ascii="Tahoma" w:hAnsi="Tahoma" w:cs="Tahoma"/>
        </w:rPr>
        <w:t>Estatuto da Juventude (Lei nº 12.852/2013)</w:t>
      </w:r>
      <w:r w:rsidRPr="00C90493">
        <w:rPr>
          <w:rFonts w:ascii="Tahoma" w:hAnsi="Tahoma" w:cs="Tahoma"/>
        </w:rPr>
        <w:t>, por sua vez, reforça que o acesso ao esporte é direito fundamental, especialmente para a população jovem em situação de vulnerabilidade, ressaltando a importância de programas inclusivos de formação esportiva.</w:t>
      </w:r>
    </w:p>
    <w:p w:rsidR="00C90493" w:rsidRP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 xml:space="preserve">No âmbito municipal, o </w:t>
      </w:r>
      <w:r w:rsidRPr="00C90493">
        <w:rPr>
          <w:rStyle w:val="Forte"/>
          <w:rFonts w:ascii="Tahoma" w:hAnsi="Tahoma" w:cs="Tahoma"/>
        </w:rPr>
        <w:t>Plano Diretor de Niterói (Lei Complementar nº 260/2007)</w:t>
      </w:r>
      <w:r w:rsidRPr="00C90493">
        <w:rPr>
          <w:rFonts w:ascii="Tahoma" w:hAnsi="Tahoma" w:cs="Tahoma"/>
        </w:rPr>
        <w:t xml:space="preserve"> estabelece diretrizes para a valorização de atividades esportivas como instrumentos de inclusão e cidadania. Em esfera estadual, o </w:t>
      </w:r>
      <w:r w:rsidRPr="00C90493">
        <w:rPr>
          <w:rStyle w:val="Forte"/>
          <w:rFonts w:ascii="Tahoma" w:hAnsi="Tahoma" w:cs="Tahoma"/>
        </w:rPr>
        <w:t>Sistema Estadual de Esporte e Lazer do Rio de Janeiro (Lei nº 7.428/2016)</w:t>
      </w:r>
      <w:r w:rsidRPr="00C90493">
        <w:rPr>
          <w:rFonts w:ascii="Tahoma" w:hAnsi="Tahoma" w:cs="Tahoma"/>
        </w:rPr>
        <w:t xml:space="preserve"> orienta a </w:t>
      </w:r>
      <w:proofErr w:type="gramStart"/>
      <w:r w:rsidRPr="00C90493">
        <w:rPr>
          <w:rFonts w:ascii="Tahoma" w:hAnsi="Tahoma" w:cs="Tahoma"/>
        </w:rPr>
        <w:t>implementação</w:t>
      </w:r>
      <w:proofErr w:type="gramEnd"/>
      <w:r w:rsidRPr="00C90493">
        <w:rPr>
          <w:rFonts w:ascii="Tahoma" w:hAnsi="Tahoma" w:cs="Tahoma"/>
        </w:rPr>
        <w:t xml:space="preserve"> de ações voltadas ao acesso democrático ao esporte, assegurando a promoção de eventos que estimulem modalidades olímpicas, como o Boxe.</w:t>
      </w:r>
    </w:p>
    <w:p w:rsidR="00C90493" w:rsidRP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 xml:space="preserve">O Boxe, em sua prática regular, contribui significativamente para a socialização de crianças e adolescentes, oferecendo alternativas de lazer educativo, prevenção à violência e ocupação saudável do tempo livre. Para adultos e idosos, promove a melhoria da </w:t>
      </w:r>
      <w:r w:rsidRPr="00C90493">
        <w:rPr>
          <w:rFonts w:ascii="Tahoma" w:hAnsi="Tahoma" w:cs="Tahoma"/>
        </w:rPr>
        <w:lastRenderedPageBreak/>
        <w:t xml:space="preserve">capacidade motora, equilíbrio, força, flexibilidade e benefícios psicológicos, estimulando a </w:t>
      </w:r>
      <w:proofErr w:type="spellStart"/>
      <w:r w:rsidRPr="00C90493">
        <w:rPr>
          <w:rFonts w:ascii="Tahoma" w:hAnsi="Tahoma" w:cs="Tahoma"/>
        </w:rPr>
        <w:t>autoestima</w:t>
      </w:r>
      <w:proofErr w:type="spellEnd"/>
      <w:r w:rsidRPr="00C90493">
        <w:rPr>
          <w:rFonts w:ascii="Tahoma" w:hAnsi="Tahoma" w:cs="Tahoma"/>
        </w:rPr>
        <w:t xml:space="preserve"> e a integração social. Trata-se de uma modalidade que possibilita a inclusão de pessoas de diferentes condições físicas e contextos socioeconômicos, reforçando a equidade e o fortalecimento comunitário.</w:t>
      </w:r>
    </w:p>
    <w:p w:rsidR="00C90493" w:rsidRP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>Historicamente, a cidade de Niterói já teve destaque em competições esportivas de diferentes modalidades de combate, demonstrando tradição e interesse da população nesse segmento. A realização e ampliação de eventos de Boxe no município não apenas valorizam o esporte olímpico, mas também fomentam o turismo esportivo, descentralizam atividades culturais e recreativas, e estimulam a economia local, especialmente em áreas com menor acesso a investimentos públicos.</w:t>
      </w:r>
    </w:p>
    <w:p w:rsidR="00C90493" w:rsidRP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 xml:space="preserve">Diante do exposto, a </w:t>
      </w:r>
      <w:proofErr w:type="gramStart"/>
      <w:r w:rsidRPr="00C90493">
        <w:rPr>
          <w:rFonts w:ascii="Tahoma" w:hAnsi="Tahoma" w:cs="Tahoma"/>
        </w:rPr>
        <w:t>implementação</w:t>
      </w:r>
      <w:proofErr w:type="gramEnd"/>
      <w:r w:rsidRPr="00C90493">
        <w:rPr>
          <w:rFonts w:ascii="Tahoma" w:hAnsi="Tahoma" w:cs="Tahoma"/>
        </w:rPr>
        <w:t xml:space="preserve"> desta ação, por meio de recursos orçamentários, garante o fortalecimento da prática esportiva inclusiva e a promoção de políticas públicas alinhadas à legislação federal, estadual e municipal, consolidando Niterói como referência na democratização do acesso ao esporte olímpico.</w:t>
      </w:r>
    </w:p>
    <w:p w:rsidR="00C90493" w:rsidRDefault="00C90493" w:rsidP="00C90493">
      <w:pPr>
        <w:pStyle w:val="NormalWeb"/>
        <w:spacing w:line="360" w:lineRule="auto"/>
        <w:jc w:val="both"/>
        <w:rPr>
          <w:rFonts w:ascii="Tahoma" w:hAnsi="Tahoma" w:cs="Tahoma"/>
        </w:rPr>
      </w:pPr>
      <w:r w:rsidRPr="00C90493">
        <w:rPr>
          <w:rFonts w:ascii="Tahoma" w:hAnsi="Tahoma" w:cs="Tahoma"/>
        </w:rPr>
        <w:t>Desta maneira, conto com o apoio dos Nobres Pares para a aprovação da presente emenda, assegurando os recursos necessários à realização dos eventos de Boxe Olímpico no município.</w:t>
      </w:r>
    </w:p>
    <w:p w:rsidR="00C90493" w:rsidRPr="00C90493" w:rsidRDefault="00C90493" w:rsidP="00C90493">
      <w:pPr>
        <w:pStyle w:val="NormalWeb"/>
        <w:spacing w:line="360" w:lineRule="auto"/>
        <w:rPr>
          <w:rFonts w:ascii="Tahoma" w:hAnsi="Tahoma" w:cs="Tahoma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C90493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81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223" w:rsidRDefault="00F76223">
      <w:pPr>
        <w:spacing w:after="0" w:line="240" w:lineRule="auto"/>
      </w:pPr>
      <w:r>
        <w:separator/>
      </w:r>
    </w:p>
  </w:endnote>
  <w:endnote w:type="continuationSeparator" w:id="1">
    <w:p w:rsidR="00F76223" w:rsidRDefault="00F76223">
      <w:pPr>
        <w:spacing w:after="0" w:line="240" w:lineRule="auto"/>
      </w:pPr>
      <w:r>
        <w:continuationSeparator/>
      </w:r>
    </w:p>
  </w:endnote>
  <w:endnote w:type="continuationNotice" w:id="2">
    <w:p w:rsidR="00F76223" w:rsidRDefault="00F7622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D776D" w:rsidRPr="001E03A2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D776D" w:rsidRDefault="001D776D" w:rsidP="001D776D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223" w:rsidRDefault="00F76223">
      <w:pPr>
        <w:spacing w:after="0" w:line="240" w:lineRule="auto"/>
      </w:pPr>
      <w:r>
        <w:separator/>
      </w:r>
    </w:p>
  </w:footnote>
  <w:footnote w:type="continuationSeparator" w:id="1">
    <w:p w:rsidR="00F76223" w:rsidRDefault="00F76223">
      <w:pPr>
        <w:spacing w:after="0" w:line="240" w:lineRule="auto"/>
      </w:pPr>
      <w:r>
        <w:continuationSeparator/>
      </w:r>
    </w:p>
  </w:footnote>
  <w:footnote w:type="continuationNotice" w:id="2">
    <w:p w:rsidR="00F76223" w:rsidRDefault="00F76223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521A9"/>
    <w:rsid w:val="0037086E"/>
    <w:rsid w:val="003952BD"/>
    <w:rsid w:val="003B262D"/>
    <w:rsid w:val="003F7EA3"/>
    <w:rsid w:val="00472FD9"/>
    <w:rsid w:val="00480806"/>
    <w:rsid w:val="004818A1"/>
    <w:rsid w:val="00483851"/>
    <w:rsid w:val="004974CA"/>
    <w:rsid w:val="004B7293"/>
    <w:rsid w:val="004C088F"/>
    <w:rsid w:val="004D70D3"/>
    <w:rsid w:val="004F5BCC"/>
    <w:rsid w:val="00513098"/>
    <w:rsid w:val="00517ED6"/>
    <w:rsid w:val="00550B65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A461A"/>
    <w:rsid w:val="008B1755"/>
    <w:rsid w:val="008B5A61"/>
    <w:rsid w:val="0090188D"/>
    <w:rsid w:val="00933039"/>
    <w:rsid w:val="00963542"/>
    <w:rsid w:val="009823D8"/>
    <w:rsid w:val="00995CC9"/>
    <w:rsid w:val="009F5E77"/>
    <w:rsid w:val="00A610F0"/>
    <w:rsid w:val="00A67678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4CE"/>
    <w:rsid w:val="00BA4401"/>
    <w:rsid w:val="00BB7341"/>
    <w:rsid w:val="00BE2B72"/>
    <w:rsid w:val="00BF1152"/>
    <w:rsid w:val="00C62D3E"/>
    <w:rsid w:val="00C6445F"/>
    <w:rsid w:val="00C65043"/>
    <w:rsid w:val="00C83B00"/>
    <w:rsid w:val="00C90493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32D37"/>
    <w:rsid w:val="00D67CF7"/>
    <w:rsid w:val="00D87DB0"/>
    <w:rsid w:val="00DB4BE6"/>
    <w:rsid w:val="00DE167E"/>
    <w:rsid w:val="00E04C8E"/>
    <w:rsid w:val="00E31CC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616B2"/>
    <w:rsid w:val="00F71567"/>
    <w:rsid w:val="00F76223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819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2025-09-03T15:48:00Z</cp:lastPrinted>
  <dcterms:created xsi:type="dcterms:W3CDTF">2025-09-23T16:09:00Z</dcterms:created>
  <dcterms:modified xsi:type="dcterms:W3CDTF">2025-09-23T16:09:00Z</dcterms:modified>
</cp:coreProperties>
</file>