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“Reforma Creche no Vital Brazil”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|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0135 | Educação para todos</w:t>
      </w:r>
      <w:r w:rsidDel="00000000" w:rsidR="00000000" w:rsidRPr="00000000">
        <w:rPr>
          <w:sz w:val="20"/>
          <w:szCs w:val="20"/>
          <w:rtl w:val="0"/>
        </w:rPr>
        <w:t xml:space="preserve">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1005"/>
        <w:gridCol w:w="930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1410"/>
        <w:gridCol w:w="960"/>
        <w:tblGridChange w:id="0">
          <w:tblGrid>
            <w:gridCol w:w="945"/>
            <w:gridCol w:w="1005"/>
            <w:gridCol w:w="930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1410"/>
            <w:gridCol w:w="96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0135 |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Reforma Creche no Vital Brazil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produto consiste na reforma completa da creche localizada no bairro Vital Brazil, atualmente inativa. As obras contemplam a recuperação da estrutura física, elétrica e hidráulica, adequações de acessibilidade de acordo com a legislação vigente, requalificação de salas de aula, áreas de convivência, cozinha, refeitório e brinquedoteca, além da aquisição de mobiliário e equipamentos adequados.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FUNDACAO MUNICIPAL DE EDUCACAO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 ANTIRRACISTA;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 PRIMEIRA INFÂNCIA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R$ 50.000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0135 | Educação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R$ 50.000,00</w:t>
            </w:r>
          </w:p>
        </w:tc>
      </w:tr>
    </w:tbl>
    <w:p w:rsidR="00000000" w:rsidDel="00000000" w:rsidP="00000000" w:rsidRDefault="00000000" w:rsidRPr="00000000" w14:paraId="000000E1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3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reforma da creche no Vital Brazil é urgente, pois, embora o prédio exista e a demanda seja significativa, o serviço está inativo. Essa situação obriga as famílias a buscarem vagas em outras localidades, o que gera deslocamentos longos, custos adicionais e, em muitos casos, impossibilita o acesso das crianças à creche. Isso compromete o direito à educação infantil, impacta negativamente o desenvolvimento das crianças e dificulta a inserção e permanência das famílias, especialmente das mães, no mercado de trabalho. A reativação da unidade por meio da reforma proporcionará a ampliação da rede municipal de educação infantil, garantindo um serviço essencial para o bairro, alinhado à função social da creche de promover cuidado, aprendizagem, socialização e proteção às crianças. Além disso, contribui para a redução das desigualdades territoriais e para o fortalecimento das políticas públicas de inclusão social e educacional, assegurando o cumprimento da Constituição Federal e da Lei de Diretrizes e Bases da Educação (LDB).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line="279" w:lineRule="auto"/>
        <w:ind w:left="567" w:firstLine="0"/>
        <w:jc w:val="right"/>
        <w:rPr>
          <w:sz w:val="24"/>
          <w:szCs w:val="24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line="279" w:lineRule="auto"/>
        <w:ind w:left="567" w:firstLine="0"/>
        <w:jc w:val="righ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line="279" w:lineRule="auto"/>
        <w:ind w:left="567" w:firstLine="0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A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B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