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C9" w:rsidRPr="00FB3490" w:rsidRDefault="00351A39" w:rsidP="007563C9">
      <w:pPr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Projeto de Lei Nº         /2025</w:t>
      </w:r>
    </w:p>
    <w:p w:rsidR="007563C9" w:rsidRPr="00FB3490" w:rsidRDefault="007563C9" w:rsidP="007563C9">
      <w:pPr>
        <w:jc w:val="center"/>
        <w:rPr>
          <w:rFonts w:ascii="Tahoma" w:hAnsi="Tahoma" w:cs="Tahoma"/>
          <w:sz w:val="24"/>
          <w:szCs w:val="26"/>
        </w:rPr>
      </w:pPr>
    </w:p>
    <w:p w:rsidR="007563C9" w:rsidRPr="00FB3490" w:rsidRDefault="00D1460D" w:rsidP="007563C9">
      <w:pPr>
        <w:ind w:left="4395"/>
        <w:jc w:val="both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 xml:space="preserve">Institui o Programa </w:t>
      </w:r>
      <w:r w:rsidRPr="00D1460D">
        <w:rPr>
          <w:rFonts w:ascii="Tahoma" w:hAnsi="Tahoma" w:cs="Tahoma"/>
          <w:b/>
          <w:i/>
          <w:sz w:val="24"/>
          <w:szCs w:val="26"/>
        </w:rPr>
        <w:t>Pilares</w:t>
      </w:r>
      <w:r w:rsidR="00351A39" w:rsidRPr="00D1460D">
        <w:rPr>
          <w:rFonts w:ascii="Tahoma" w:hAnsi="Tahoma" w:cs="Tahoma"/>
          <w:b/>
          <w:i/>
          <w:sz w:val="24"/>
          <w:szCs w:val="26"/>
        </w:rPr>
        <w:t xml:space="preserve"> da Arte</w:t>
      </w:r>
      <w:r w:rsidR="00351A39">
        <w:rPr>
          <w:rFonts w:ascii="Tahoma" w:hAnsi="Tahoma" w:cs="Tahoma"/>
          <w:b/>
          <w:sz w:val="24"/>
          <w:szCs w:val="26"/>
        </w:rPr>
        <w:t>, destinado à exposição periódica de artistas visuais e fotógrafos nas pilastras situadas nos dois primeiros quarteirões da Avenida Amaral Peixoto e dá outras providências</w:t>
      </w:r>
      <w:r w:rsidR="007563C9" w:rsidRPr="00FB3490">
        <w:rPr>
          <w:rFonts w:ascii="Tahoma" w:hAnsi="Tahoma" w:cs="Tahoma"/>
          <w:b/>
          <w:sz w:val="24"/>
          <w:szCs w:val="26"/>
        </w:rPr>
        <w:t>.</w:t>
      </w:r>
    </w:p>
    <w:p w:rsidR="007563C9" w:rsidRPr="00FB3490" w:rsidRDefault="007563C9" w:rsidP="00351A39">
      <w:pPr>
        <w:spacing w:after="0" w:line="240" w:lineRule="auto"/>
        <w:jc w:val="both"/>
        <w:rPr>
          <w:rFonts w:ascii="Tahoma" w:hAnsi="Tahoma" w:cs="Tahoma"/>
          <w:b/>
          <w:sz w:val="24"/>
          <w:szCs w:val="26"/>
        </w:rPr>
      </w:pPr>
    </w:p>
    <w:p w:rsidR="00351A39" w:rsidRP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</w:rPr>
      </w:pPr>
      <w:r w:rsidRPr="00351A39">
        <w:rPr>
          <w:rFonts w:ascii="Tahoma" w:hAnsi="Tahoma" w:cs="Tahoma"/>
          <w:b/>
          <w:bCs/>
        </w:rPr>
        <w:t>Art. 1º</w:t>
      </w:r>
      <w:r w:rsidRPr="00351A39">
        <w:rPr>
          <w:rFonts w:ascii="Tahoma" w:hAnsi="Tahoma" w:cs="Tahoma"/>
        </w:rPr>
        <w:t xml:space="preserve"> Fica instituído, no âmbito do Município de Niterói, o </w:t>
      </w:r>
      <w:r w:rsidR="00D1460D">
        <w:rPr>
          <w:rFonts w:ascii="Tahoma" w:hAnsi="Tahoma" w:cs="Tahoma"/>
          <w:b/>
          <w:bCs/>
        </w:rPr>
        <w:t xml:space="preserve">Programa </w:t>
      </w:r>
      <w:r w:rsidR="00D1460D" w:rsidRPr="00D1460D">
        <w:rPr>
          <w:rFonts w:ascii="Tahoma" w:hAnsi="Tahoma" w:cs="Tahoma"/>
          <w:b/>
          <w:bCs/>
          <w:i/>
        </w:rPr>
        <w:t>Pilares</w:t>
      </w:r>
      <w:r w:rsidRPr="00D1460D">
        <w:rPr>
          <w:rFonts w:ascii="Tahoma" w:hAnsi="Tahoma" w:cs="Tahoma"/>
          <w:b/>
          <w:bCs/>
          <w:i/>
        </w:rPr>
        <w:t xml:space="preserve"> da Arte</w:t>
      </w:r>
      <w:r w:rsidRPr="00351A39">
        <w:rPr>
          <w:rFonts w:ascii="Tahoma" w:hAnsi="Tahoma" w:cs="Tahoma"/>
        </w:rPr>
        <w:t xml:space="preserve">, com a finalidade de promover exposições periódicas de obras de artistas visuais, fotógrafos e coletivos culturais nas pilastras dos </w:t>
      </w:r>
      <w:r w:rsidRPr="00351A39">
        <w:rPr>
          <w:rFonts w:ascii="Tahoma" w:hAnsi="Tahoma" w:cs="Tahoma"/>
          <w:b/>
          <w:bCs/>
        </w:rPr>
        <w:t>dois primeiros quarteirões da Rua Amaral Peixoto</w:t>
      </w:r>
      <w:r w:rsidRPr="00351A39">
        <w:rPr>
          <w:rFonts w:ascii="Tahoma" w:hAnsi="Tahoma" w:cs="Tahoma"/>
        </w:rPr>
        <w:t>, no Centro.</w:t>
      </w:r>
    </w:p>
    <w:p w:rsid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  <w:b/>
          <w:bCs/>
        </w:rPr>
      </w:pPr>
    </w:p>
    <w:p w:rsid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</w:rPr>
      </w:pPr>
      <w:r w:rsidRPr="00351A39">
        <w:rPr>
          <w:rFonts w:ascii="Tahoma" w:hAnsi="Tahoma" w:cs="Tahoma"/>
          <w:b/>
          <w:bCs/>
        </w:rPr>
        <w:t>Art. 2º</w:t>
      </w:r>
      <w:r w:rsidRPr="00351A39">
        <w:rPr>
          <w:rFonts w:ascii="Tahoma" w:hAnsi="Tahoma" w:cs="Tahoma"/>
        </w:rPr>
        <w:t xml:space="preserve"> O Programa tem por objetivo:</w:t>
      </w:r>
    </w:p>
    <w:p w:rsidR="00351A39" w:rsidRPr="0084265A" w:rsidRDefault="00351A39" w:rsidP="0084265A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</w:rPr>
        <w:br/>
      </w:r>
      <w:r w:rsidRPr="0084265A">
        <w:rPr>
          <w:rFonts w:ascii="Tahoma" w:hAnsi="Tahoma" w:cs="Tahoma"/>
          <w:sz w:val="24"/>
          <w:szCs w:val="24"/>
        </w:rPr>
        <w:t>I</w:t>
      </w:r>
      <w:r w:rsidR="0084265A" w:rsidRPr="0084265A">
        <w:rPr>
          <w:rFonts w:ascii="Tahoma" w:hAnsi="Tahoma" w:cs="Tahoma"/>
          <w:sz w:val="24"/>
          <w:szCs w:val="24"/>
        </w:rPr>
        <w:t xml:space="preserve">- </w:t>
      </w:r>
      <w:r w:rsidRPr="0084265A">
        <w:rPr>
          <w:rFonts w:ascii="Tahoma" w:hAnsi="Tahoma" w:cs="Tahoma"/>
          <w:sz w:val="24"/>
          <w:szCs w:val="24"/>
        </w:rPr>
        <w:t>divulgar e valorizar a</w:t>
      </w:r>
      <w:r w:rsidR="0084265A" w:rsidRPr="0084265A">
        <w:rPr>
          <w:rFonts w:ascii="Tahoma" w:hAnsi="Tahoma" w:cs="Tahoma"/>
          <w:sz w:val="24"/>
          <w:szCs w:val="24"/>
        </w:rPr>
        <w:t xml:space="preserve"> produção artística local;</w:t>
      </w:r>
      <w:r w:rsidR="0084265A" w:rsidRPr="0084265A">
        <w:rPr>
          <w:rFonts w:ascii="Tahoma" w:hAnsi="Tahoma" w:cs="Tahoma"/>
          <w:sz w:val="24"/>
          <w:szCs w:val="24"/>
        </w:rPr>
        <w:br/>
        <w:t xml:space="preserve">II- </w:t>
      </w:r>
      <w:r w:rsidRPr="0084265A">
        <w:rPr>
          <w:rFonts w:ascii="Tahoma" w:hAnsi="Tahoma" w:cs="Tahoma"/>
          <w:sz w:val="24"/>
          <w:szCs w:val="24"/>
        </w:rPr>
        <w:t>democratizar o acesso à arte e à cultura em espaços públicos;</w:t>
      </w:r>
      <w:r w:rsidRPr="0084265A">
        <w:rPr>
          <w:rFonts w:ascii="Tahoma" w:hAnsi="Tahoma" w:cs="Tahoma"/>
          <w:sz w:val="24"/>
          <w:szCs w:val="24"/>
        </w:rPr>
        <w:br/>
        <w:t>II</w:t>
      </w:r>
      <w:r w:rsidR="0084265A" w:rsidRPr="0084265A">
        <w:rPr>
          <w:rFonts w:ascii="Tahoma" w:hAnsi="Tahoma" w:cs="Tahoma"/>
          <w:sz w:val="24"/>
          <w:szCs w:val="24"/>
        </w:rPr>
        <w:t>-</w:t>
      </w:r>
      <w:r w:rsidRPr="0084265A">
        <w:rPr>
          <w:rFonts w:ascii="Tahoma" w:hAnsi="Tahoma" w:cs="Tahoma"/>
          <w:sz w:val="24"/>
          <w:szCs w:val="24"/>
        </w:rPr>
        <w:t>fomentar a economia criativa da cida</w:t>
      </w:r>
      <w:r w:rsidR="0084265A" w:rsidRPr="0084265A">
        <w:rPr>
          <w:rFonts w:ascii="Tahoma" w:hAnsi="Tahoma" w:cs="Tahoma"/>
          <w:sz w:val="24"/>
          <w:szCs w:val="24"/>
        </w:rPr>
        <w:t>de;</w:t>
      </w:r>
      <w:r w:rsidR="0084265A" w:rsidRPr="0084265A">
        <w:rPr>
          <w:rFonts w:ascii="Tahoma" w:hAnsi="Tahoma" w:cs="Tahoma"/>
          <w:sz w:val="24"/>
          <w:szCs w:val="24"/>
        </w:rPr>
        <w:br/>
        <w:t xml:space="preserve">IV- </w:t>
      </w:r>
      <w:r w:rsidRPr="0084265A">
        <w:rPr>
          <w:rFonts w:ascii="Tahoma" w:hAnsi="Tahoma" w:cs="Tahoma"/>
          <w:sz w:val="24"/>
          <w:szCs w:val="24"/>
        </w:rPr>
        <w:t>revitalizar o ambiente urbano através da cultura.</w:t>
      </w:r>
    </w:p>
    <w:p w:rsid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  <w:b/>
          <w:bCs/>
        </w:rPr>
      </w:pPr>
    </w:p>
    <w:p w:rsidR="00351A39" w:rsidRP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</w:rPr>
      </w:pPr>
      <w:r w:rsidRPr="00351A39">
        <w:rPr>
          <w:rFonts w:ascii="Tahoma" w:hAnsi="Tahoma" w:cs="Tahoma"/>
          <w:b/>
          <w:bCs/>
        </w:rPr>
        <w:t>Art. 3º</w:t>
      </w:r>
      <w:r w:rsidRPr="00351A39">
        <w:rPr>
          <w:rFonts w:ascii="Tahoma" w:hAnsi="Tahoma" w:cs="Tahoma"/>
        </w:rPr>
        <w:t xml:space="preserve"> As pilastras referidas nesta Lei serão padronizadas e adequadas para receber as obras por meio de intervenção da </w:t>
      </w:r>
      <w:r w:rsidRPr="00351A39">
        <w:rPr>
          <w:rFonts w:ascii="Tahoma" w:hAnsi="Tahoma" w:cs="Tahoma"/>
          <w:b/>
          <w:bCs/>
        </w:rPr>
        <w:t>Secretaria Municipal de Conservação e Serviços Públicos (SECONSER)</w:t>
      </w:r>
      <w:r w:rsidRPr="00351A39">
        <w:rPr>
          <w:rFonts w:ascii="Tahoma" w:hAnsi="Tahoma" w:cs="Tahoma"/>
        </w:rPr>
        <w:t xml:space="preserve">, em articulação com a </w:t>
      </w:r>
      <w:r w:rsidR="00743127">
        <w:rPr>
          <w:rFonts w:ascii="Tahoma" w:hAnsi="Tahoma" w:cs="Tahoma"/>
          <w:b/>
          <w:bCs/>
        </w:rPr>
        <w:t>Fundação de Artes de Niterói (FAN)</w:t>
      </w:r>
      <w:r w:rsidRPr="00351A39">
        <w:rPr>
          <w:rFonts w:ascii="Tahoma" w:hAnsi="Tahoma" w:cs="Tahoma"/>
        </w:rPr>
        <w:t>.</w:t>
      </w:r>
    </w:p>
    <w:p w:rsid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  <w:b/>
          <w:bCs/>
        </w:rPr>
      </w:pPr>
    </w:p>
    <w:p w:rsidR="0084265A" w:rsidRDefault="00351A39" w:rsidP="0084265A">
      <w:pPr>
        <w:spacing w:after="0" w:line="240" w:lineRule="auto"/>
        <w:rPr>
          <w:rFonts w:ascii="Tahoma" w:hAnsi="Tahoma" w:cs="Tahoma"/>
        </w:rPr>
      </w:pPr>
      <w:r w:rsidRPr="00351A39">
        <w:rPr>
          <w:rFonts w:ascii="Tahoma" w:hAnsi="Tahoma" w:cs="Tahoma"/>
          <w:b/>
          <w:bCs/>
        </w:rPr>
        <w:t>Art. 4º</w:t>
      </w:r>
      <w:r w:rsidRPr="00351A39">
        <w:rPr>
          <w:rFonts w:ascii="Tahoma" w:hAnsi="Tahoma" w:cs="Tahoma"/>
        </w:rPr>
        <w:t xml:space="preserve"> A curadoria das exposições, bem como o processo seletivo dos artistas participantes, será de responsabilidade da </w:t>
      </w:r>
      <w:r w:rsidR="00D1460D">
        <w:rPr>
          <w:rFonts w:ascii="Tahoma" w:hAnsi="Tahoma" w:cs="Tahoma"/>
          <w:b/>
          <w:bCs/>
        </w:rPr>
        <w:t>Fundação de Artes de Niterói (FAN)</w:t>
      </w:r>
      <w:r w:rsidRPr="00351A39">
        <w:rPr>
          <w:rFonts w:ascii="Tahoma" w:hAnsi="Tahoma" w:cs="Tahoma"/>
        </w:rPr>
        <w:t>, q</w:t>
      </w:r>
      <w:r w:rsidR="0084265A">
        <w:rPr>
          <w:rFonts w:ascii="Tahoma" w:hAnsi="Tahoma" w:cs="Tahoma"/>
        </w:rPr>
        <w:t>ue poderá:</w:t>
      </w:r>
      <w:proofErr w:type="gramStart"/>
    </w:p>
    <w:p w:rsidR="00351A39" w:rsidRPr="0084265A" w:rsidRDefault="0084265A" w:rsidP="0084265A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proofErr w:type="gramEnd"/>
      <w:r w:rsidRPr="0084265A">
        <w:rPr>
          <w:rFonts w:ascii="Tahoma" w:hAnsi="Tahoma" w:cs="Tahoma"/>
        </w:rPr>
        <w:br/>
      </w:r>
      <w:r w:rsidRPr="0084265A">
        <w:rPr>
          <w:rFonts w:ascii="Tahoma" w:hAnsi="Tahoma" w:cs="Tahoma"/>
          <w:sz w:val="24"/>
          <w:szCs w:val="24"/>
        </w:rPr>
        <w:t>I-</w:t>
      </w:r>
      <w:proofErr w:type="gramStart"/>
      <w:r w:rsidRPr="0084265A">
        <w:rPr>
          <w:rFonts w:ascii="Tahoma" w:hAnsi="Tahoma" w:cs="Tahoma"/>
          <w:sz w:val="24"/>
          <w:szCs w:val="24"/>
        </w:rPr>
        <w:t xml:space="preserve">  </w:t>
      </w:r>
      <w:proofErr w:type="gramEnd"/>
      <w:r w:rsidRPr="0084265A">
        <w:rPr>
          <w:rFonts w:ascii="Tahoma" w:hAnsi="Tahoma" w:cs="Tahoma"/>
          <w:sz w:val="24"/>
          <w:szCs w:val="24"/>
        </w:rPr>
        <w:t xml:space="preserve">realizar editais públicos de </w:t>
      </w:r>
      <w:r w:rsidR="00351A39" w:rsidRPr="0084265A">
        <w:rPr>
          <w:rFonts w:ascii="Tahoma" w:hAnsi="Tahoma" w:cs="Tahoma"/>
          <w:sz w:val="24"/>
          <w:szCs w:val="24"/>
        </w:rPr>
        <w:t>seleção;</w:t>
      </w:r>
      <w:r w:rsidR="00351A39" w:rsidRPr="0084265A">
        <w:rPr>
          <w:rFonts w:ascii="Tahoma" w:hAnsi="Tahoma" w:cs="Tahoma"/>
          <w:sz w:val="24"/>
          <w:szCs w:val="24"/>
        </w:rPr>
        <w:br/>
        <w:t>II</w:t>
      </w:r>
      <w:r w:rsidRPr="0084265A">
        <w:rPr>
          <w:rFonts w:ascii="Tahoma" w:hAnsi="Tahoma" w:cs="Tahoma"/>
          <w:sz w:val="24"/>
          <w:szCs w:val="24"/>
        </w:rPr>
        <w:t>- priorizar artistas residentes em Niterói;</w:t>
      </w:r>
      <w:r w:rsidRPr="0084265A">
        <w:rPr>
          <w:rFonts w:ascii="Tahoma" w:hAnsi="Tahoma" w:cs="Tahoma"/>
          <w:sz w:val="24"/>
          <w:szCs w:val="24"/>
        </w:rPr>
        <w:br/>
        <w:t xml:space="preserve">III- </w:t>
      </w:r>
      <w:r w:rsidR="00351A39" w:rsidRPr="0084265A">
        <w:rPr>
          <w:rFonts w:ascii="Tahoma" w:hAnsi="Tahoma" w:cs="Tahoma"/>
          <w:sz w:val="24"/>
          <w:szCs w:val="24"/>
        </w:rPr>
        <w:t>garantir diversidade de gênero, raça, identidade e linguagem artística.</w:t>
      </w:r>
    </w:p>
    <w:p w:rsid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  <w:b/>
          <w:bCs/>
        </w:rPr>
      </w:pPr>
    </w:p>
    <w:p w:rsidR="00351A39" w:rsidRP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</w:rPr>
      </w:pPr>
      <w:r w:rsidRPr="00351A39">
        <w:rPr>
          <w:rFonts w:ascii="Tahoma" w:hAnsi="Tahoma" w:cs="Tahoma"/>
          <w:b/>
          <w:bCs/>
        </w:rPr>
        <w:lastRenderedPageBreak/>
        <w:t>Parágrafo único.</w:t>
      </w:r>
      <w:r w:rsidRPr="00351A39">
        <w:rPr>
          <w:rFonts w:ascii="Tahoma" w:hAnsi="Tahoma" w:cs="Tahoma"/>
        </w:rPr>
        <w:t xml:space="preserve"> Cada exposição terá duração de até </w:t>
      </w:r>
      <w:proofErr w:type="gramStart"/>
      <w:r w:rsidRPr="00351A39">
        <w:rPr>
          <w:rFonts w:ascii="Tahoma" w:hAnsi="Tahoma" w:cs="Tahoma"/>
          <w:b/>
          <w:bCs/>
        </w:rPr>
        <w:t>6</w:t>
      </w:r>
      <w:proofErr w:type="gramEnd"/>
      <w:r w:rsidRPr="00351A39">
        <w:rPr>
          <w:rFonts w:ascii="Tahoma" w:hAnsi="Tahoma" w:cs="Tahoma"/>
          <w:b/>
          <w:bCs/>
        </w:rPr>
        <w:t xml:space="preserve"> (seis) meses</w:t>
      </w:r>
      <w:r w:rsidRPr="00351A39">
        <w:rPr>
          <w:rFonts w:ascii="Tahoma" w:hAnsi="Tahoma" w:cs="Tahoma"/>
        </w:rPr>
        <w:t xml:space="preserve">, com direito à fixação de uma </w:t>
      </w:r>
      <w:r w:rsidRPr="00351A39">
        <w:rPr>
          <w:rFonts w:ascii="Tahoma" w:hAnsi="Tahoma" w:cs="Tahoma"/>
          <w:b/>
          <w:bCs/>
        </w:rPr>
        <w:t>ficha técnica</w:t>
      </w:r>
      <w:r w:rsidRPr="00351A39">
        <w:rPr>
          <w:rFonts w:ascii="Tahoma" w:hAnsi="Tahoma" w:cs="Tahoma"/>
        </w:rPr>
        <w:t xml:space="preserve"> da obra e do artista em local visível junto à pilastra.</w:t>
      </w:r>
    </w:p>
    <w:p w:rsidR="00351A39" w:rsidRP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</w:rPr>
      </w:pPr>
      <w:r w:rsidRPr="00351A39">
        <w:rPr>
          <w:rFonts w:ascii="Tahoma" w:hAnsi="Tahoma" w:cs="Tahoma"/>
          <w:b/>
          <w:bCs/>
        </w:rPr>
        <w:t>Art. 5º</w:t>
      </w:r>
      <w:r w:rsidRPr="00351A39">
        <w:rPr>
          <w:rFonts w:ascii="Tahoma" w:hAnsi="Tahoma" w:cs="Tahoma"/>
        </w:rPr>
        <w:t xml:space="preserve"> A Prefeitura poderá celebrar parcerias com instituições culturais, universidades, galerias, coletivos artísticos e o setor privado para apoio à execução, manutenção e difusão das exposições.</w:t>
      </w:r>
    </w:p>
    <w:p w:rsid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  <w:b/>
          <w:bCs/>
        </w:rPr>
      </w:pPr>
    </w:p>
    <w:p w:rsidR="00351A39" w:rsidRP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</w:rPr>
      </w:pPr>
      <w:r w:rsidRPr="00351A39">
        <w:rPr>
          <w:rFonts w:ascii="Tahoma" w:hAnsi="Tahoma" w:cs="Tahoma"/>
          <w:b/>
          <w:bCs/>
        </w:rPr>
        <w:t>Art. 6º</w:t>
      </w:r>
      <w:r w:rsidRPr="00351A39">
        <w:rPr>
          <w:rFonts w:ascii="Tahoma" w:hAnsi="Tahoma" w:cs="Tahoma"/>
        </w:rPr>
        <w:t xml:space="preserve"> As despesas decorrentes da execução desta Lei correrão por conta de dotações orçamentárias próprias, suplementadas se necessário.</w:t>
      </w:r>
    </w:p>
    <w:p w:rsid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  <w:b/>
          <w:bCs/>
        </w:rPr>
      </w:pPr>
    </w:p>
    <w:p w:rsidR="007563C9" w:rsidRPr="00351A39" w:rsidRDefault="00351A39" w:rsidP="00351A39">
      <w:pPr>
        <w:spacing w:after="0" w:line="240" w:lineRule="auto"/>
        <w:ind w:firstLine="709"/>
        <w:jc w:val="both"/>
        <w:rPr>
          <w:rFonts w:ascii="Tahoma" w:hAnsi="Tahoma" w:cs="Tahoma"/>
          <w:b/>
          <w:sz w:val="24"/>
          <w:szCs w:val="26"/>
        </w:rPr>
      </w:pPr>
      <w:r w:rsidRPr="00351A39">
        <w:rPr>
          <w:rFonts w:ascii="Tahoma" w:hAnsi="Tahoma" w:cs="Tahoma"/>
          <w:b/>
          <w:bCs/>
        </w:rPr>
        <w:t>Art. 7º</w:t>
      </w:r>
      <w:r w:rsidRPr="00351A39">
        <w:rPr>
          <w:rFonts w:ascii="Tahoma" w:hAnsi="Tahoma" w:cs="Tahoma"/>
        </w:rPr>
        <w:t xml:space="preserve"> Esta Lei entra em vigor na data de sua publicação.</w:t>
      </w:r>
    </w:p>
    <w:p w:rsidR="00351A39" w:rsidRDefault="00351A39" w:rsidP="00351A39">
      <w:pPr>
        <w:spacing w:after="0" w:line="240" w:lineRule="auto"/>
        <w:jc w:val="center"/>
        <w:rPr>
          <w:rFonts w:ascii="Tahoma" w:hAnsi="Tahoma" w:cs="Tahoma"/>
          <w:b/>
          <w:sz w:val="24"/>
          <w:szCs w:val="26"/>
        </w:rPr>
      </w:pPr>
    </w:p>
    <w:p w:rsidR="00351A39" w:rsidRDefault="00351A39" w:rsidP="007563C9">
      <w:pPr>
        <w:jc w:val="center"/>
        <w:rPr>
          <w:rFonts w:ascii="Tahoma" w:hAnsi="Tahoma" w:cs="Tahoma"/>
          <w:b/>
          <w:sz w:val="24"/>
          <w:szCs w:val="26"/>
        </w:rPr>
      </w:pPr>
    </w:p>
    <w:p w:rsidR="007563C9" w:rsidRPr="00FB3490" w:rsidRDefault="007563C9" w:rsidP="007563C9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</w:p>
    <w:p w:rsidR="00351A39" w:rsidRPr="00351A39" w:rsidRDefault="00351A39" w:rsidP="00351A39">
      <w:pPr>
        <w:spacing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351A39">
        <w:rPr>
          <w:rFonts w:ascii="Tahoma" w:hAnsi="Tahoma" w:cs="Tahoma"/>
          <w:sz w:val="24"/>
          <w:szCs w:val="24"/>
        </w:rPr>
        <w:t>O presente projeto de lei propõe uma ação cultural simples, criativa e transformadora: transformar as pilastras dos dois primeiros quarteirões da Rua Amaral Peixoto em suportes para a arte local. Trata-se de um gesto concreto de valorização dos artistas visuais e fotógrafos da cidade de Niterói, oferecendo-lhes visibilidade e reconhecimento público, ao mesmo tempo em que se fortalece o vínculo da cultura com o cotidiano da população.</w:t>
      </w:r>
    </w:p>
    <w:p w:rsidR="00351A39" w:rsidRPr="00351A39" w:rsidRDefault="00351A39" w:rsidP="00351A39">
      <w:pPr>
        <w:spacing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351A39">
        <w:rPr>
          <w:rFonts w:ascii="Tahoma" w:hAnsi="Tahoma" w:cs="Tahoma"/>
          <w:sz w:val="24"/>
          <w:szCs w:val="24"/>
        </w:rPr>
        <w:t>Ao colocar a arte em lugar de destaque na paisagem urbana, este programa democratiza o acesso à cultura e valoriza o espaço público como lugar de encontro, pertencimento e identidade. A participação da SECONSER na infraestrut</w:t>
      </w:r>
      <w:r w:rsidR="00F3739D">
        <w:rPr>
          <w:rFonts w:ascii="Tahoma" w:hAnsi="Tahoma" w:cs="Tahoma"/>
          <w:sz w:val="24"/>
          <w:szCs w:val="24"/>
        </w:rPr>
        <w:t>ura e da Fundação de Artes de Niterói (FAN)</w:t>
      </w:r>
      <w:bookmarkStart w:id="0" w:name="_GoBack"/>
      <w:bookmarkEnd w:id="0"/>
      <w:r w:rsidRPr="00351A39">
        <w:rPr>
          <w:rFonts w:ascii="Tahoma" w:hAnsi="Tahoma" w:cs="Tahoma"/>
          <w:sz w:val="24"/>
          <w:szCs w:val="24"/>
        </w:rPr>
        <w:t xml:space="preserve"> na curadoria garante a articulação entre cuidado urbano e fomento artístico.</w:t>
      </w:r>
    </w:p>
    <w:p w:rsidR="00351A39" w:rsidRPr="00351A39" w:rsidRDefault="00351A39" w:rsidP="00351A39">
      <w:pPr>
        <w:spacing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351A39">
        <w:rPr>
          <w:rFonts w:ascii="Tahoma" w:hAnsi="Tahoma" w:cs="Tahoma"/>
          <w:sz w:val="24"/>
          <w:szCs w:val="24"/>
        </w:rPr>
        <w:t>Além disso, o rodízio semestral das exposições permitirá a participação contínua de novos artistas, promovendo diversidade, renovação e dinamismo cultural.</w:t>
      </w:r>
    </w:p>
    <w:p w:rsidR="007D2DA5" w:rsidRPr="00FB3490" w:rsidRDefault="00351A39" w:rsidP="007D2DA5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                                          </w:t>
      </w:r>
      <w:r w:rsidR="007D2DA5">
        <w:rPr>
          <w:rFonts w:ascii="Tahoma" w:hAnsi="Tahoma" w:cs="Tahoma"/>
          <w:sz w:val="24"/>
          <w:szCs w:val="26"/>
        </w:rPr>
        <w:t>Sala das Sessões</w:t>
      </w:r>
      <w:r w:rsidR="007D2DA5" w:rsidRPr="00FB3490">
        <w:rPr>
          <w:rFonts w:ascii="Tahoma" w:hAnsi="Tahoma" w:cs="Tahoma"/>
          <w:sz w:val="24"/>
          <w:szCs w:val="26"/>
        </w:rPr>
        <w:t xml:space="preserve">, </w:t>
      </w:r>
      <w:r w:rsidR="00D1460D">
        <w:rPr>
          <w:rFonts w:ascii="Tahoma" w:hAnsi="Tahoma" w:cs="Tahoma"/>
          <w:sz w:val="24"/>
          <w:szCs w:val="26"/>
        </w:rPr>
        <w:t>24</w:t>
      </w:r>
      <w:r>
        <w:rPr>
          <w:rFonts w:ascii="Tahoma" w:hAnsi="Tahoma" w:cs="Tahoma"/>
          <w:sz w:val="24"/>
          <w:szCs w:val="26"/>
        </w:rPr>
        <w:t xml:space="preserve"> de setembro de 2025</w:t>
      </w:r>
      <w:r w:rsidR="007D2DA5">
        <w:rPr>
          <w:rFonts w:ascii="Tahoma" w:hAnsi="Tahoma" w:cs="Tahoma"/>
          <w:sz w:val="24"/>
          <w:szCs w:val="26"/>
        </w:rPr>
        <w:t>.</w:t>
      </w:r>
    </w:p>
    <w:p w:rsidR="007D2DA5" w:rsidRDefault="007D2DA5" w:rsidP="007D2DA5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351A39" w:rsidRPr="00FB3490" w:rsidRDefault="00351A39" w:rsidP="007D2DA5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7D2DA5" w:rsidRDefault="007D2DA5" w:rsidP="00351A39">
      <w:pPr>
        <w:spacing w:after="0" w:line="240" w:lineRule="auto"/>
        <w:ind w:firstLine="527"/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Jhonatan Anjos</w:t>
      </w:r>
    </w:p>
    <w:p w:rsidR="00351A39" w:rsidRPr="007D2DA5" w:rsidRDefault="00351A39" w:rsidP="00351A39">
      <w:pPr>
        <w:spacing w:after="0" w:line="240" w:lineRule="auto"/>
        <w:ind w:firstLine="527"/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Vereador - PDT</w:t>
      </w:r>
    </w:p>
    <w:sectPr w:rsidR="00351A39" w:rsidRPr="007D2DA5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7BF" w:rsidRDefault="002B67BF" w:rsidP="000E0409">
      <w:pPr>
        <w:spacing w:after="0" w:line="240" w:lineRule="auto"/>
      </w:pPr>
      <w:r>
        <w:separator/>
      </w:r>
    </w:p>
  </w:endnote>
  <w:endnote w:type="continuationSeparator" w:id="0">
    <w:p w:rsidR="002B67BF" w:rsidRDefault="002B67BF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351A39" w:rsidP="00AB6BDF">
    <w:pPr>
      <w:spacing w:after="0" w:line="240" w:lineRule="auto"/>
      <w:ind w:left="113" w:right="113" w:firstLine="28"/>
      <w:jc w:val="center"/>
      <w:rPr>
        <w:rFonts w:cs="Arial"/>
      </w:rPr>
    </w:pPr>
    <w:r>
      <w:rPr>
        <w:rFonts w:cs="Arial"/>
      </w:rPr>
      <w:t>Gabinete 11</w:t>
    </w:r>
    <w:r w:rsidR="00AB6BDF">
      <w:rPr>
        <w:rFonts w:cs="Arial"/>
      </w:rPr>
      <w:t xml:space="preserve"> – </w:t>
    </w:r>
    <w:r>
      <w:rPr>
        <w:rFonts w:cs="Arial"/>
      </w:rPr>
      <w:t>Telefone: (21) 3716-8600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7BF" w:rsidRDefault="002B67BF" w:rsidP="000E0409">
      <w:pPr>
        <w:spacing w:after="0" w:line="240" w:lineRule="auto"/>
      </w:pPr>
      <w:r>
        <w:separator/>
      </w:r>
    </w:p>
  </w:footnote>
  <w:footnote w:type="continuationSeparator" w:id="0">
    <w:p w:rsidR="002B67BF" w:rsidRDefault="002B67BF" w:rsidP="000E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8590B"/>
    <w:multiLevelType w:val="hybridMultilevel"/>
    <w:tmpl w:val="6868E5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13F3F"/>
    <w:rsid w:val="00027B36"/>
    <w:rsid w:val="000324CC"/>
    <w:rsid w:val="00036277"/>
    <w:rsid w:val="00055E8B"/>
    <w:rsid w:val="000863A4"/>
    <w:rsid w:val="000E0409"/>
    <w:rsid w:val="000E5188"/>
    <w:rsid w:val="001126BC"/>
    <w:rsid w:val="00125FB9"/>
    <w:rsid w:val="00147BD2"/>
    <w:rsid w:val="00161565"/>
    <w:rsid w:val="00164615"/>
    <w:rsid w:val="001C19BA"/>
    <w:rsid w:val="001C4A4A"/>
    <w:rsid w:val="001D0D9F"/>
    <w:rsid w:val="001F4C21"/>
    <w:rsid w:val="00202BB1"/>
    <w:rsid w:val="00221C3E"/>
    <w:rsid w:val="0022356F"/>
    <w:rsid w:val="002267CE"/>
    <w:rsid w:val="002472FA"/>
    <w:rsid w:val="002821F3"/>
    <w:rsid w:val="002A7846"/>
    <w:rsid w:val="002B67BF"/>
    <w:rsid w:val="002D622F"/>
    <w:rsid w:val="002F75EF"/>
    <w:rsid w:val="00311167"/>
    <w:rsid w:val="00312FB6"/>
    <w:rsid w:val="00334B15"/>
    <w:rsid w:val="0034570F"/>
    <w:rsid w:val="00351A39"/>
    <w:rsid w:val="003620E5"/>
    <w:rsid w:val="003731FA"/>
    <w:rsid w:val="00384C73"/>
    <w:rsid w:val="00393D4A"/>
    <w:rsid w:val="003B072D"/>
    <w:rsid w:val="003B6B34"/>
    <w:rsid w:val="003C1860"/>
    <w:rsid w:val="003E4EC9"/>
    <w:rsid w:val="00403D29"/>
    <w:rsid w:val="004247E5"/>
    <w:rsid w:val="00462F2E"/>
    <w:rsid w:val="0048159F"/>
    <w:rsid w:val="00497A35"/>
    <w:rsid w:val="004A2826"/>
    <w:rsid w:val="004B62C6"/>
    <w:rsid w:val="004D7A6A"/>
    <w:rsid w:val="00536255"/>
    <w:rsid w:val="0055425B"/>
    <w:rsid w:val="00564E2C"/>
    <w:rsid w:val="00571B20"/>
    <w:rsid w:val="005736AF"/>
    <w:rsid w:val="00583262"/>
    <w:rsid w:val="006323D7"/>
    <w:rsid w:val="00645F3D"/>
    <w:rsid w:val="00667BAF"/>
    <w:rsid w:val="00681FC3"/>
    <w:rsid w:val="00693081"/>
    <w:rsid w:val="006B52E6"/>
    <w:rsid w:val="007105E0"/>
    <w:rsid w:val="007267B5"/>
    <w:rsid w:val="00743127"/>
    <w:rsid w:val="007563C9"/>
    <w:rsid w:val="00791CF2"/>
    <w:rsid w:val="007B2D6A"/>
    <w:rsid w:val="007D2DA5"/>
    <w:rsid w:val="007E6B90"/>
    <w:rsid w:val="007F28BA"/>
    <w:rsid w:val="0080031C"/>
    <w:rsid w:val="0084265A"/>
    <w:rsid w:val="00853EBA"/>
    <w:rsid w:val="00876589"/>
    <w:rsid w:val="00894519"/>
    <w:rsid w:val="008C1286"/>
    <w:rsid w:val="00981819"/>
    <w:rsid w:val="0098656F"/>
    <w:rsid w:val="00987BEE"/>
    <w:rsid w:val="009A1F2D"/>
    <w:rsid w:val="009E3634"/>
    <w:rsid w:val="009E57F9"/>
    <w:rsid w:val="00A014D9"/>
    <w:rsid w:val="00A4735E"/>
    <w:rsid w:val="00A7740C"/>
    <w:rsid w:val="00A92331"/>
    <w:rsid w:val="00AB1532"/>
    <w:rsid w:val="00AB6BDF"/>
    <w:rsid w:val="00AE2BE9"/>
    <w:rsid w:val="00B0113F"/>
    <w:rsid w:val="00B05B06"/>
    <w:rsid w:val="00B25341"/>
    <w:rsid w:val="00B32100"/>
    <w:rsid w:val="00B55D42"/>
    <w:rsid w:val="00BC6C1D"/>
    <w:rsid w:val="00C029B8"/>
    <w:rsid w:val="00C14B20"/>
    <w:rsid w:val="00C33B0F"/>
    <w:rsid w:val="00C37031"/>
    <w:rsid w:val="00C632C1"/>
    <w:rsid w:val="00C81F52"/>
    <w:rsid w:val="00C8308C"/>
    <w:rsid w:val="00C87E99"/>
    <w:rsid w:val="00CA1DDB"/>
    <w:rsid w:val="00CA22AC"/>
    <w:rsid w:val="00CA29AF"/>
    <w:rsid w:val="00CB30D6"/>
    <w:rsid w:val="00CB32B8"/>
    <w:rsid w:val="00CE4E30"/>
    <w:rsid w:val="00CE7DD9"/>
    <w:rsid w:val="00D1460D"/>
    <w:rsid w:val="00D57CFA"/>
    <w:rsid w:val="00D65DB5"/>
    <w:rsid w:val="00D858D1"/>
    <w:rsid w:val="00D9799C"/>
    <w:rsid w:val="00DA2AFD"/>
    <w:rsid w:val="00DC22F0"/>
    <w:rsid w:val="00DD74FA"/>
    <w:rsid w:val="00E012E0"/>
    <w:rsid w:val="00E1119B"/>
    <w:rsid w:val="00E27A1A"/>
    <w:rsid w:val="00E3159F"/>
    <w:rsid w:val="00E71BD2"/>
    <w:rsid w:val="00E906FE"/>
    <w:rsid w:val="00EC00B3"/>
    <w:rsid w:val="00ED2B43"/>
    <w:rsid w:val="00F25EED"/>
    <w:rsid w:val="00F3739D"/>
    <w:rsid w:val="00F60F61"/>
    <w:rsid w:val="00F9563A"/>
    <w:rsid w:val="00FB3490"/>
    <w:rsid w:val="00FC03B9"/>
    <w:rsid w:val="00FD24C4"/>
    <w:rsid w:val="00FE5E87"/>
    <w:rsid w:val="00FE65DC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426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42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D20AA-7725-44DC-8CC5-11FDC2060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4</cp:revision>
  <cp:lastPrinted>2025-09-24T15:11:00Z</cp:lastPrinted>
  <dcterms:created xsi:type="dcterms:W3CDTF">2025-09-24T15:10:00Z</dcterms:created>
  <dcterms:modified xsi:type="dcterms:W3CDTF">2025-09-24T15:12:00Z</dcterms:modified>
</cp:coreProperties>
</file>