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D7A18" w14:textId="77777777" w:rsidR="00FF52B1" w:rsidRPr="007D3B23" w:rsidRDefault="00FF52B1" w:rsidP="00FF52B1">
      <w:pPr>
        <w:jc w:val="center"/>
        <w:rPr>
          <w:rFonts w:ascii="Arial Narrow" w:hAnsi="Arial Narrow" w:cs="Tahoma"/>
          <w:sz w:val="26"/>
          <w:szCs w:val="26"/>
        </w:rPr>
      </w:pPr>
      <w:bookmarkStart w:id="0" w:name="_Hlk207378512"/>
    </w:p>
    <w:p w14:paraId="6181D99C" w14:textId="77777777" w:rsidR="00FF52B1" w:rsidRPr="0090242E" w:rsidRDefault="00FF52B1" w:rsidP="00FF52B1">
      <w:pPr>
        <w:keepNext/>
        <w:spacing w:before="100" w:beforeAutospacing="1" w:after="100" w:afterAutospacing="1"/>
        <w:ind w:left="110" w:firstLine="180"/>
        <w:jc w:val="right"/>
        <w:outlineLvl w:val="1"/>
        <w:rPr>
          <w:rFonts w:ascii="Arial" w:hAnsi="Arial" w:cs="Arial"/>
          <w:b/>
          <w:bCs/>
        </w:rPr>
      </w:pPr>
      <w:r w:rsidRPr="0090242E">
        <w:rPr>
          <w:rFonts w:ascii="Arial" w:hAnsi="Arial" w:cs="Arial"/>
          <w:b/>
          <w:bCs/>
          <w:color w:val="000000" w:themeColor="text1"/>
        </w:rPr>
        <w:t xml:space="preserve">Niterói, 29 de agosto </w:t>
      </w:r>
      <w:r w:rsidRPr="0090242E">
        <w:rPr>
          <w:rFonts w:ascii="Arial" w:hAnsi="Arial" w:cs="Arial"/>
          <w:b/>
          <w:bCs/>
        </w:rPr>
        <w:t>de 2025.</w:t>
      </w:r>
    </w:p>
    <w:p w14:paraId="4D862F48" w14:textId="77777777" w:rsidR="00FF52B1" w:rsidRPr="0090242E" w:rsidRDefault="00FF52B1" w:rsidP="00FF52B1">
      <w:pPr>
        <w:jc w:val="right"/>
        <w:rPr>
          <w:rFonts w:ascii="Arial" w:hAnsi="Arial" w:cs="Arial"/>
          <w:bCs/>
        </w:rPr>
      </w:pPr>
    </w:p>
    <w:p w14:paraId="2FD0AF6E" w14:textId="77777777" w:rsidR="00FF52B1" w:rsidRPr="0090242E" w:rsidRDefault="00FF52B1" w:rsidP="00FF52B1">
      <w:pPr>
        <w:rPr>
          <w:rFonts w:ascii="Arial" w:hAnsi="Arial" w:cs="Arial"/>
          <w:b/>
        </w:rPr>
      </w:pPr>
      <w:r w:rsidRPr="0090242E">
        <w:rPr>
          <w:rFonts w:ascii="Arial" w:hAnsi="Arial" w:cs="Arial"/>
          <w:b/>
        </w:rPr>
        <w:t xml:space="preserve">MENSAGEM EXECUTIVA </w:t>
      </w:r>
      <w:proofErr w:type="gramStart"/>
      <w:r w:rsidRPr="0090242E">
        <w:rPr>
          <w:rFonts w:ascii="Arial" w:hAnsi="Arial" w:cs="Arial"/>
          <w:b/>
        </w:rPr>
        <w:t>Nº  27</w:t>
      </w:r>
      <w:proofErr w:type="gramEnd"/>
      <w:r w:rsidRPr="0090242E">
        <w:rPr>
          <w:rFonts w:ascii="Arial" w:hAnsi="Arial" w:cs="Arial"/>
          <w:b/>
        </w:rPr>
        <w:t>/2025</w:t>
      </w:r>
    </w:p>
    <w:p w14:paraId="73E6D35E" w14:textId="77777777" w:rsidR="00FF52B1" w:rsidRPr="0090242E" w:rsidRDefault="00FF52B1" w:rsidP="00FF52B1">
      <w:pPr>
        <w:jc w:val="right"/>
        <w:rPr>
          <w:rFonts w:ascii="Arial" w:hAnsi="Arial" w:cs="Arial"/>
          <w:bCs/>
        </w:rPr>
      </w:pPr>
    </w:p>
    <w:p w14:paraId="7947B721" w14:textId="77777777" w:rsidR="00FF52B1" w:rsidRPr="0090242E" w:rsidRDefault="00FF52B1" w:rsidP="00FF52B1">
      <w:pPr>
        <w:rPr>
          <w:rFonts w:ascii="Arial" w:hAnsi="Arial" w:cs="Arial"/>
          <w:bCs/>
        </w:rPr>
      </w:pPr>
    </w:p>
    <w:p w14:paraId="4F49621A" w14:textId="77777777" w:rsidR="00FF52B1" w:rsidRPr="0090242E" w:rsidRDefault="00FF52B1" w:rsidP="00FF52B1">
      <w:pPr>
        <w:jc w:val="both"/>
        <w:rPr>
          <w:rFonts w:ascii="Arial" w:hAnsi="Arial" w:cs="Arial"/>
          <w:bCs/>
        </w:rPr>
      </w:pPr>
    </w:p>
    <w:p w14:paraId="4D4555B0" w14:textId="77777777" w:rsidR="00FF52B1" w:rsidRPr="0090242E" w:rsidRDefault="00FF52B1" w:rsidP="00FF52B1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90242E">
        <w:rPr>
          <w:rFonts w:ascii="Arial" w:hAnsi="Arial" w:cs="Arial"/>
          <w:bCs/>
        </w:rPr>
        <w:t>Senhor Presidente,</w:t>
      </w:r>
    </w:p>
    <w:p w14:paraId="77F51D65" w14:textId="77777777" w:rsidR="00FF52B1" w:rsidRPr="0090242E" w:rsidRDefault="00FF52B1" w:rsidP="00FF52B1">
      <w:pPr>
        <w:spacing w:line="360" w:lineRule="auto"/>
        <w:jc w:val="both"/>
        <w:rPr>
          <w:rFonts w:ascii="Arial" w:hAnsi="Arial" w:cs="Arial"/>
          <w:bCs/>
        </w:rPr>
      </w:pPr>
    </w:p>
    <w:p w14:paraId="1175B171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 xml:space="preserve">Tenho a honra de submeter à deliberação dessa Egrégia Casa Legislativa o Projeto de Lei que </w:t>
      </w:r>
      <w:r w:rsidRPr="0090242E">
        <w:rPr>
          <w:rFonts w:ascii="Arial" w:hAnsi="Arial" w:cs="Arial"/>
          <w:b/>
          <w:bCs/>
        </w:rPr>
        <w:t>“Dispõe sobre o Plano Plurianual do Município para o período de 2026-2029"</w:t>
      </w:r>
      <w:r w:rsidRPr="0090242E">
        <w:rPr>
          <w:rFonts w:ascii="Arial" w:hAnsi="Arial" w:cs="Arial"/>
        </w:rPr>
        <w:t>, em observância ao disposto no artigo 165, § 1º, da Constituição Federal e ao artigo 131, § 4º, inciso I, da Lei Orgânica municipal.</w:t>
      </w:r>
    </w:p>
    <w:p w14:paraId="6B24F85E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>Com fundamento nos diplomas normativos supracitados, a proposição estabelece as diretrizes, objetivos e metas da Administração Pública Municipal para as despesas de capital e outras delas decorrentes, e as relacionadas com programas de duração continuada para o referido período.</w:t>
      </w:r>
    </w:p>
    <w:p w14:paraId="04591075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>Em sua elaboração, foram contempladas as diretrizes, objetivos e metas da ação governamental para 2026 a 2029 e, cabe informar que, o presente Projeto guarda observância aos preceitos e objetivos do Plano Estratégico de longo prazo deste município, denominado “Niterói Que Queremos 2013- 2033" - (NQQ). Desta forma, o PPA é orientado pela visão de futuro do NQQ, que orienta a concentração dos esforços governamentais para tornar “Niterói a melhor cidade do Brasil para viver e ser feliz”. Além disso, os Programas e seus respectivos produtos e metas estão inseridos nas 7 (sete) Áreas de Resultado contempladas no NQQ, com a inclusão da Área de Resultado do Legislativo.</w:t>
      </w:r>
    </w:p>
    <w:p w14:paraId="67D917F7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 xml:space="preserve">É importante ressaltar que Niterói vem, por meio deste projeto, ao encontro da lógica de modernização e reconstrução de planejamento nacional, utilizando-se deste </w:t>
      </w:r>
      <w:r w:rsidRPr="0090242E">
        <w:rPr>
          <w:rFonts w:ascii="Arial" w:hAnsi="Arial" w:cs="Arial"/>
        </w:rPr>
        <w:lastRenderedPageBreak/>
        <w:t xml:space="preserve">Plano como forma de focalizar o planejamento de políticas públicas de maneira efetiva no âmbito do médio prazo, para que os instrumentos de planejamento orçamentário anual, como a Lei de Diretrizes Orçamentárias e a Lei Orçamentária Anual, consigam executar estas políticas e projetos, elencados no planejamento, de maneira eficiente durante o respectivo exercício financeiro, tendo em vista sempre a responsabilidade fiscal e o equilíbrio das contas públicas. </w:t>
      </w:r>
    </w:p>
    <w:p w14:paraId="0E79592B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 xml:space="preserve">Por isso, este projeto ressalta o compromisso com o planejamento e orçamento orientados à resultado, tendo em sua estrutura e metodologia de elaboração três níveis de divisão: o estratégico, o tático e o operacional. </w:t>
      </w:r>
    </w:p>
    <w:p w14:paraId="605E7274" w14:textId="77777777" w:rsidR="00FF52B1" w:rsidRPr="0090242E" w:rsidRDefault="00FF52B1" w:rsidP="00FF52B1">
      <w:pPr>
        <w:spacing w:after="240" w:line="360" w:lineRule="auto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 xml:space="preserve">Destes, temos no nível estratégico: a visão de futuro de longo prazo; as áreas de resultado com vinculação a indicadores de impacto, que terão seus resultados mensurados ao final da vigência do plano, além de seus respectivos objetivos estratégicos. </w:t>
      </w:r>
    </w:p>
    <w:p w14:paraId="2259AFF2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 xml:space="preserve">No nível tático, pode-se observar: os programas orçamentários, com suas respectivas previsões de valores a nível de custeio e investimento; associação com os Objetivos de Desenvolvimento Sustentável e suas metas; os objetivos específicos de atuação de cada programa; e os indicadores de resultado, que mensurará, anualmente, a eficácia daquele programa. </w:t>
      </w:r>
    </w:p>
    <w:p w14:paraId="65BFAEA7" w14:textId="77777777" w:rsidR="00FF52B1" w:rsidRPr="0090242E" w:rsidRDefault="00FF52B1" w:rsidP="0090242E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>No nível operacional, estão: os produtos, que são a tradução dos projetos e atividades finalísticas, ou seja, o que se pretende implementar no referido período e que fazem parte do escopo de previsão no âmbito do PPA; descrição de cada produto; órgão gestor, responsável pela implementação do projeto; meta física anualizada, que estima a quantidade de produto que será entregue; as agendas transversais; as ações orçamentárias, que serão a ferramenta para a execução orçamentária daquela política pública ou projeto; a unidade orçamentária responsável pela execução orçamentária; e o tipo da ação, se projeto ou atividade finalística.</w:t>
      </w:r>
    </w:p>
    <w:p w14:paraId="059C3169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 xml:space="preserve">É importante ressaltar que o processo de construção do PPA 2026-2029 teve a Consulta Pública vigente, denominada Niterói Que Queremos 2050, como um dos pilares para sua consolidação. A consulta, que segue aberta à população para a </w:t>
      </w:r>
      <w:r w:rsidRPr="0090242E">
        <w:rPr>
          <w:rFonts w:ascii="Arial" w:hAnsi="Arial" w:cs="Arial"/>
        </w:rPr>
        <w:lastRenderedPageBreak/>
        <w:t>atualização do Plano de Longo prazo, ampliando sua visão até 2050, teve os resultados observados tendo em vista o período de 30 de junho a 04 de agosto de 2025. Este recorte permitiu considerarmos 4.791 participações realizadas de maneira on-line, através de plataforma virtual, e de maneira presencial, através de ações em rua e apoio de equipamentos públicos aptos a coletar a opinião popular para a construção do planejamento da cidade para o médio e longo prazo.</w:t>
      </w:r>
    </w:p>
    <w:p w14:paraId="73BCB1B0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>Cabe reforçar também que a visão de políticas públicas transversais está se consolidando neste município, bem como nacionalmente, e, neste sentido, o PPA 2026-2029 traz 4 (quatro) agendas consideradas transversais por esta gestão, que são: Niterói por Elas, agenda relacionada a promoção da equidade de gênero e políticas que impactam as mulheres de nossa cidade; Niterói Primeira Infância, que observa políticas que impactam crianças de até 6 anos completos; Niterói Jovem, que sinaliza políticas voltadas para jovens de 15 a 29 anos; e Niterói Antirracista, que elenca políticas de promoção da igualdade racial e combate à discriminação.</w:t>
      </w:r>
    </w:p>
    <w:p w14:paraId="28F9B4EF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>Neste sentido, destacam-se alguns produtos considerados centrais para o Município de Niterói nos dias de hoje: atenção ao desenvolvimento e à mobilidade urbana, com o incentivo ao uso de meios de transporte alternativos e sustentáveis; o reforço da segurança pública e combate à violência urbana; a ampliação das políticas de habitação e regularização fundiária; melhoria na qualidade da educação e promoção da permanência na escola; o incentivo a políticas relacionadas à sustentabilidade, resiliência climática e preservação do meio ambiente; a melhoria da qualidade da saúde e sua modernização; a promoção da cultura e preservação do patrimônio; a promoção do esporte, lazer e qualidade de vida; o turismo como vetor de desenvolvimento econômico, bem como a revitalização de áreas essenciais para a cidade; o fortalecimento e aprimoramento das políticas de assistência social; a promoção dos direitos humanos, acessibilidade e inclusão de todas as pessoas.</w:t>
      </w:r>
    </w:p>
    <w:p w14:paraId="0E9F0261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>Em linha com o atual cenário econômico, este projeto de lei reafirma o compromisso com a responsabilidade fiscal, traduzido na defesa do equilíbrio das contas públicas, reconhecidamente fundamental para dar continuidade à expansão e melhoria da qualidade dos serviços prestados e à execução dos investimentos em andamento, propiciando o desenvolvimento econômico e social da cidade.</w:t>
      </w:r>
    </w:p>
    <w:p w14:paraId="052AF6A5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lastRenderedPageBreak/>
        <w:t xml:space="preserve">Ante o exposto, encaminha-se para apreciação desta Casa o Projeto de Lei do Plano Plurianual para os Exercícios financeiros de 2026 a 2029 - PLPPA 2026-2029. </w:t>
      </w:r>
    </w:p>
    <w:p w14:paraId="5C44BC48" w14:textId="77777777" w:rsidR="00FF52B1" w:rsidRPr="0090242E" w:rsidRDefault="00FF52B1" w:rsidP="00FF52B1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90242E">
        <w:rPr>
          <w:rFonts w:ascii="Arial" w:hAnsi="Arial" w:cs="Arial"/>
        </w:rPr>
        <w:t>Assim, esperando contar, mais uma vez, com o apoio e o respaldo dessa Egrégia Casa, reitero a Vossas Excelências os protestos de estima e consideração.</w:t>
      </w:r>
    </w:p>
    <w:p w14:paraId="53F7F3AA" w14:textId="77777777" w:rsidR="00FF52B1" w:rsidRPr="0090242E" w:rsidRDefault="00FF52B1" w:rsidP="00FF52B1">
      <w:pPr>
        <w:pStyle w:val="Legenda"/>
        <w:rPr>
          <w:rFonts w:ascii="Arial" w:hAnsi="Arial" w:cs="Arial"/>
          <w:sz w:val="24"/>
          <w:szCs w:val="24"/>
        </w:rPr>
      </w:pPr>
    </w:p>
    <w:p w14:paraId="6A4BB4F8" w14:textId="77777777" w:rsidR="00FF52B1" w:rsidRPr="0090242E" w:rsidRDefault="00FF52B1" w:rsidP="00FF52B1">
      <w:pPr>
        <w:rPr>
          <w:rFonts w:ascii="Arial" w:hAnsi="Arial" w:cs="Arial"/>
        </w:rPr>
      </w:pPr>
    </w:p>
    <w:p w14:paraId="756A83BA" w14:textId="77777777" w:rsidR="00FF52B1" w:rsidRPr="0090242E" w:rsidRDefault="00FF52B1" w:rsidP="00FF52B1">
      <w:pPr>
        <w:rPr>
          <w:rFonts w:ascii="Arial" w:hAnsi="Arial" w:cs="Arial"/>
        </w:rPr>
      </w:pPr>
    </w:p>
    <w:p w14:paraId="124C7D85" w14:textId="77777777" w:rsidR="00FF52B1" w:rsidRPr="0090242E" w:rsidRDefault="00FF52B1" w:rsidP="00FF52B1">
      <w:pPr>
        <w:ind w:left="1134"/>
        <w:rPr>
          <w:rFonts w:ascii="Arial" w:hAnsi="Arial" w:cs="Arial"/>
          <w:color w:val="00B050"/>
        </w:rPr>
      </w:pPr>
    </w:p>
    <w:p w14:paraId="1B78100A" w14:textId="77777777" w:rsidR="00FF52B1" w:rsidRPr="0090242E" w:rsidRDefault="00FF52B1" w:rsidP="00FF52B1">
      <w:pPr>
        <w:jc w:val="center"/>
        <w:rPr>
          <w:rFonts w:ascii="Arial" w:hAnsi="Arial" w:cs="Arial"/>
          <w:b/>
        </w:rPr>
      </w:pPr>
      <w:r w:rsidRPr="0090242E">
        <w:rPr>
          <w:rFonts w:ascii="Arial" w:hAnsi="Arial" w:cs="Arial"/>
          <w:b/>
        </w:rPr>
        <w:t>Rodrigo Neves</w:t>
      </w:r>
    </w:p>
    <w:p w14:paraId="680C165D" w14:textId="77777777" w:rsidR="00FF52B1" w:rsidRPr="0090242E" w:rsidRDefault="00FF52B1" w:rsidP="00FF52B1">
      <w:pPr>
        <w:jc w:val="center"/>
        <w:rPr>
          <w:rFonts w:ascii="Arial" w:hAnsi="Arial" w:cs="Arial"/>
          <w:b/>
        </w:rPr>
      </w:pPr>
      <w:r w:rsidRPr="0090242E">
        <w:rPr>
          <w:rFonts w:ascii="Arial" w:hAnsi="Arial" w:cs="Arial"/>
          <w:b/>
        </w:rPr>
        <w:t>Prefeito</w:t>
      </w:r>
    </w:p>
    <w:p w14:paraId="32C2D99C" w14:textId="77777777" w:rsidR="00FF52B1" w:rsidRPr="0090242E" w:rsidRDefault="00FF52B1" w:rsidP="00FF52B1">
      <w:pPr>
        <w:jc w:val="center"/>
        <w:rPr>
          <w:rFonts w:ascii="Arial" w:hAnsi="Arial" w:cs="Arial"/>
        </w:rPr>
      </w:pPr>
    </w:p>
    <w:bookmarkEnd w:id="0"/>
    <w:p w14:paraId="5DE60263" w14:textId="254472F7" w:rsidR="00FF52B1" w:rsidRPr="0090242E" w:rsidRDefault="00FF52B1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br w:type="page"/>
      </w:r>
    </w:p>
    <w:p w14:paraId="1A09B3EA" w14:textId="77777777" w:rsidR="00FF52B1" w:rsidRPr="0090242E" w:rsidRDefault="00FF52B1" w:rsidP="00FF52B1">
      <w:pPr>
        <w:shd w:val="clear" w:color="auto" w:fill="FFFFFF"/>
        <w:spacing w:after="0"/>
        <w:rPr>
          <w:rFonts w:ascii="Arial" w:hAnsi="Arial" w:cs="Arial"/>
          <w:b/>
          <w:iCs/>
        </w:rPr>
      </w:pPr>
      <w:bookmarkStart w:id="1" w:name="_Hlk182828697"/>
      <w:bookmarkStart w:id="2" w:name="_Hlk207378628"/>
      <w:r w:rsidRPr="0090242E">
        <w:rPr>
          <w:rFonts w:ascii="Arial" w:hAnsi="Arial" w:cs="Arial"/>
          <w:b/>
          <w:iCs/>
        </w:rPr>
        <w:lastRenderedPageBreak/>
        <w:t>EXCELENTÍSSIMO SENHOR VEREADOR MILTON CARLOS LOPES</w:t>
      </w:r>
    </w:p>
    <w:p w14:paraId="0147CA97" w14:textId="77777777" w:rsidR="00FF52B1" w:rsidRPr="0090242E" w:rsidRDefault="00FF52B1" w:rsidP="00FF52B1">
      <w:pPr>
        <w:shd w:val="clear" w:color="auto" w:fill="FFFFFF"/>
        <w:spacing w:after="0"/>
        <w:rPr>
          <w:rFonts w:ascii="Arial" w:hAnsi="Arial" w:cs="Arial"/>
        </w:rPr>
      </w:pPr>
      <w:r w:rsidRPr="0090242E">
        <w:rPr>
          <w:rFonts w:ascii="Arial" w:hAnsi="Arial" w:cs="Arial"/>
          <w:b/>
          <w:iCs/>
        </w:rPr>
        <w:t>PRESIDENTE DA CÂMARA MUNICIPAL DE NITERÓI</w:t>
      </w:r>
    </w:p>
    <w:bookmarkEnd w:id="1"/>
    <w:p w14:paraId="276E6EEA" w14:textId="77777777" w:rsidR="00FF52B1" w:rsidRPr="0090242E" w:rsidRDefault="00FF52B1" w:rsidP="7F2EAEBF">
      <w:pPr>
        <w:jc w:val="center"/>
        <w:rPr>
          <w:rFonts w:ascii="Arial" w:eastAsia="Times New Roman" w:hAnsi="Arial" w:cs="Arial"/>
        </w:rPr>
      </w:pPr>
    </w:p>
    <w:p w14:paraId="22F487C7" w14:textId="77777777" w:rsidR="00FF52B1" w:rsidRPr="0090242E" w:rsidRDefault="00FF52B1" w:rsidP="7F2EAEBF">
      <w:pPr>
        <w:jc w:val="center"/>
        <w:rPr>
          <w:rFonts w:ascii="Arial" w:eastAsia="Times New Roman" w:hAnsi="Arial" w:cs="Arial"/>
        </w:rPr>
      </w:pPr>
    </w:p>
    <w:p w14:paraId="2D97489B" w14:textId="77777777" w:rsidR="00FF52B1" w:rsidRPr="0090242E" w:rsidRDefault="00FF52B1" w:rsidP="00FF52B1">
      <w:pPr>
        <w:pStyle w:val="Corpo"/>
        <w:widowControl w:val="0"/>
        <w:spacing w:line="360" w:lineRule="auto"/>
        <w:ind w:left="108" w:hanging="108"/>
        <w:jc w:val="center"/>
        <w:rPr>
          <w:rFonts w:ascii="Arial" w:hAnsi="Arial" w:cs="Arial"/>
        </w:rPr>
      </w:pPr>
      <w:r w:rsidRPr="0090242E">
        <w:rPr>
          <w:rStyle w:val="NenhumA"/>
          <w:rFonts w:ascii="Arial" w:hAnsi="Arial" w:cs="Arial"/>
        </w:rPr>
        <w:t>PROJETO DE LEI  Nº        ,  DE</w:t>
      </w:r>
      <w:bookmarkStart w:id="3" w:name="_Hlk182828902"/>
      <w:r w:rsidRPr="0090242E">
        <w:rPr>
          <w:rStyle w:val="NenhumA"/>
          <w:rFonts w:ascii="Arial" w:hAnsi="Arial" w:cs="Arial"/>
        </w:rPr>
        <w:t xml:space="preserve">            </w:t>
      </w:r>
      <w:bookmarkEnd w:id="3"/>
      <w:r w:rsidRPr="0090242E">
        <w:rPr>
          <w:rStyle w:val="NenhumA"/>
          <w:rFonts w:ascii="Arial" w:hAnsi="Arial" w:cs="Arial"/>
        </w:rPr>
        <w:t>DE             DE 2025</w:t>
      </w:r>
    </w:p>
    <w:p w14:paraId="0315E422" w14:textId="12FB9BC2" w:rsidR="0048160D" w:rsidRPr="0090242E" w:rsidRDefault="0048160D" w:rsidP="7F2EAEBF">
      <w:pPr>
        <w:jc w:val="center"/>
        <w:rPr>
          <w:rFonts w:ascii="Arial" w:eastAsia="Times New Roman" w:hAnsi="Arial" w:cs="Arial"/>
        </w:rPr>
      </w:pPr>
    </w:p>
    <w:p w14:paraId="686E18E9" w14:textId="2C648FF0" w:rsidR="0048160D" w:rsidRPr="0090242E" w:rsidRDefault="41EBAD00" w:rsidP="00922247">
      <w:pPr>
        <w:ind w:left="5670"/>
        <w:jc w:val="both"/>
        <w:rPr>
          <w:rFonts w:ascii="Arial" w:hAnsi="Arial" w:cs="Arial"/>
          <w:b/>
          <w:bCs/>
        </w:rPr>
      </w:pPr>
      <w:r w:rsidRPr="0090242E">
        <w:rPr>
          <w:rFonts w:ascii="Arial" w:eastAsia="Times New Roman" w:hAnsi="Arial" w:cs="Arial"/>
          <w:b/>
          <w:bCs/>
        </w:rPr>
        <w:t>Dispõe sobre o Plano Plurianual do Município para o período de 202</w:t>
      </w:r>
      <w:r w:rsidR="3740CE66" w:rsidRPr="0090242E">
        <w:rPr>
          <w:rFonts w:ascii="Arial" w:eastAsia="Times New Roman" w:hAnsi="Arial" w:cs="Arial"/>
          <w:b/>
          <w:bCs/>
        </w:rPr>
        <w:t>6</w:t>
      </w:r>
      <w:r w:rsidRPr="0090242E">
        <w:rPr>
          <w:rFonts w:ascii="Arial" w:eastAsia="Times New Roman" w:hAnsi="Arial" w:cs="Arial"/>
          <w:b/>
          <w:bCs/>
        </w:rPr>
        <w:t>-202</w:t>
      </w:r>
      <w:r w:rsidR="06F28AB2" w:rsidRPr="0090242E">
        <w:rPr>
          <w:rFonts w:ascii="Arial" w:eastAsia="Times New Roman" w:hAnsi="Arial" w:cs="Arial"/>
          <w:b/>
          <w:bCs/>
        </w:rPr>
        <w:t>9</w:t>
      </w:r>
      <w:r w:rsidRPr="0090242E">
        <w:rPr>
          <w:rFonts w:ascii="Arial" w:eastAsia="Times New Roman" w:hAnsi="Arial" w:cs="Arial"/>
          <w:b/>
          <w:bCs/>
        </w:rPr>
        <w:t xml:space="preserve">. </w:t>
      </w:r>
    </w:p>
    <w:p w14:paraId="4B7DFA4F" w14:textId="4C835E9C" w:rsidR="0048160D" w:rsidRPr="0090242E" w:rsidRDefault="0048160D" w:rsidP="7F2EAEBF">
      <w:pPr>
        <w:jc w:val="center"/>
        <w:rPr>
          <w:rFonts w:ascii="Arial" w:eastAsia="Times New Roman" w:hAnsi="Arial" w:cs="Arial"/>
        </w:rPr>
      </w:pPr>
    </w:p>
    <w:p w14:paraId="31A0BDDE" w14:textId="77777777" w:rsidR="00922247" w:rsidRPr="0090242E" w:rsidRDefault="00922247" w:rsidP="00922247">
      <w:pPr>
        <w:jc w:val="both"/>
        <w:rPr>
          <w:rFonts w:ascii="Arial" w:eastAsia="Times New Roman" w:hAnsi="Arial" w:cs="Arial"/>
        </w:rPr>
      </w:pPr>
    </w:p>
    <w:p w14:paraId="63D356E3" w14:textId="221C4571" w:rsidR="0048160D" w:rsidRPr="0090242E" w:rsidRDefault="41EBAD00" w:rsidP="00922247">
      <w:pPr>
        <w:jc w:val="both"/>
        <w:rPr>
          <w:rFonts w:ascii="Arial" w:hAnsi="Arial" w:cs="Arial"/>
        </w:rPr>
      </w:pPr>
      <w:r w:rsidRPr="0090242E">
        <w:rPr>
          <w:rFonts w:ascii="Arial" w:eastAsia="Times New Roman" w:hAnsi="Arial" w:cs="Arial"/>
        </w:rPr>
        <w:t>A CÂMARA MUNICIPAL DE NITERÓI DECRETA E EU SANCIONO A SEGUINTE LEI:</w:t>
      </w:r>
    </w:p>
    <w:p w14:paraId="69CFC67C" w14:textId="1B7F35E9" w:rsidR="0048160D" w:rsidRPr="0090242E" w:rsidRDefault="0048160D" w:rsidP="7F2EAEBF">
      <w:pPr>
        <w:jc w:val="center"/>
        <w:rPr>
          <w:rFonts w:ascii="Arial" w:eastAsia="Times New Roman" w:hAnsi="Arial" w:cs="Arial"/>
        </w:rPr>
      </w:pPr>
    </w:p>
    <w:p w14:paraId="295508CF" w14:textId="117523F2" w:rsidR="0048160D" w:rsidRPr="0090242E" w:rsidRDefault="76DCEE44" w:rsidP="7F2EAEBF">
      <w:pPr>
        <w:jc w:val="center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 xml:space="preserve">CAPÍTULO I </w:t>
      </w:r>
    </w:p>
    <w:p w14:paraId="1E207724" w14:textId="4BEDBC3C" w:rsidR="0048160D" w:rsidRPr="0090242E" w:rsidRDefault="00927FA3" w:rsidP="7F2EAEBF">
      <w:pPr>
        <w:jc w:val="center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 xml:space="preserve">DAS DIRETRIZES </w:t>
      </w:r>
      <w:r w:rsidR="76DCEE44" w:rsidRPr="0090242E">
        <w:rPr>
          <w:rFonts w:ascii="Arial" w:eastAsia="Times New Roman" w:hAnsi="Arial" w:cs="Arial"/>
        </w:rPr>
        <w:t>DO PLANEJAMENTO GOVERNAMENTAL E DO PLANO PLURIANUAL</w:t>
      </w:r>
    </w:p>
    <w:p w14:paraId="6B51FD79" w14:textId="63BD4B2F" w:rsidR="7F2EAEBF" w:rsidRPr="0090242E" w:rsidRDefault="7F2EAEBF" w:rsidP="7F2EAEBF">
      <w:pPr>
        <w:jc w:val="center"/>
        <w:rPr>
          <w:rFonts w:ascii="Arial" w:eastAsia="Times New Roman" w:hAnsi="Arial" w:cs="Arial"/>
        </w:rPr>
      </w:pPr>
    </w:p>
    <w:p w14:paraId="63E74571" w14:textId="0F43DB0A" w:rsidR="7369FB96" w:rsidRPr="0090242E" w:rsidRDefault="7369FB96" w:rsidP="7F2EAEBF">
      <w:pPr>
        <w:spacing w:line="276" w:lineRule="auto"/>
        <w:rPr>
          <w:rFonts w:ascii="Arial" w:eastAsia="Times New Roman" w:hAnsi="Arial" w:cs="Arial"/>
        </w:rPr>
      </w:pPr>
      <w:proofErr w:type="spellStart"/>
      <w:r w:rsidRPr="0090242E">
        <w:rPr>
          <w:rFonts w:ascii="Arial" w:eastAsia="Times New Roman" w:hAnsi="Arial" w:cs="Arial"/>
          <w:color w:val="000000" w:themeColor="text1"/>
        </w:rPr>
        <w:t>Art</w:t>
      </w:r>
      <w:proofErr w:type="spellEnd"/>
      <w:r w:rsidRPr="0090242E">
        <w:rPr>
          <w:rFonts w:ascii="Arial" w:eastAsia="Times New Roman" w:hAnsi="Arial" w:cs="Arial"/>
          <w:color w:val="000000" w:themeColor="text1"/>
        </w:rPr>
        <w:t xml:space="preserve"> 1º</w:t>
      </w:r>
      <w:r w:rsidR="7028BA99" w:rsidRPr="0090242E">
        <w:rPr>
          <w:rFonts w:ascii="Arial" w:eastAsia="Times New Roman" w:hAnsi="Arial" w:cs="Arial"/>
          <w:color w:val="000000" w:themeColor="text1"/>
        </w:rPr>
        <w:t>.</w:t>
      </w:r>
      <w:r w:rsidRPr="0090242E">
        <w:rPr>
          <w:rFonts w:ascii="Arial" w:eastAsia="Times New Roman" w:hAnsi="Arial" w:cs="Arial"/>
          <w:color w:val="000000" w:themeColor="text1"/>
        </w:rPr>
        <w:t xml:space="preserve"> </w:t>
      </w:r>
      <w:r w:rsidRPr="0090242E">
        <w:rPr>
          <w:rFonts w:ascii="Arial" w:eastAsiaTheme="minorEastAsia" w:hAnsi="Arial" w:cs="Arial"/>
        </w:rPr>
        <w:t>Esta Lei institui o Plano Plurianual do Município de Niterói para o quadriênio de 2026 a 2029 – PPA 2026-2029, em cumprimento ao disposto no art. 165, §1º, da Constituição Federal e no art. 130, da Lei Orgânica do Município de Niterói.</w:t>
      </w:r>
    </w:p>
    <w:p w14:paraId="71102EF4" w14:textId="4C2EF9FD" w:rsidR="00366E11" w:rsidRPr="0090242E" w:rsidRDefault="7369FB96" w:rsidP="00366E11">
      <w:pPr>
        <w:spacing w:line="276" w:lineRule="auto"/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§1</w:t>
      </w:r>
      <w:r w:rsidR="1F87E1B9" w:rsidRPr="0090242E">
        <w:rPr>
          <w:rFonts w:ascii="Arial" w:eastAsia="Times New Roman" w:hAnsi="Arial" w:cs="Arial"/>
          <w:color w:val="000000" w:themeColor="text1"/>
        </w:rPr>
        <w:t>º</w:t>
      </w:r>
      <w:r w:rsidR="054FE3CA" w:rsidRPr="0090242E">
        <w:rPr>
          <w:rFonts w:ascii="Arial" w:eastAsia="Times New Roman" w:hAnsi="Arial" w:cs="Arial"/>
          <w:color w:val="000000" w:themeColor="text1"/>
        </w:rPr>
        <w:t>.</w:t>
      </w:r>
      <w:r w:rsidRPr="0090242E">
        <w:rPr>
          <w:rFonts w:ascii="Arial" w:eastAsia="Times New Roman" w:hAnsi="Arial" w:cs="Arial"/>
          <w:color w:val="000000" w:themeColor="text1"/>
        </w:rPr>
        <w:t xml:space="preserve"> </w:t>
      </w:r>
      <w:r w:rsidR="00366E11" w:rsidRPr="0090242E">
        <w:rPr>
          <w:rFonts w:ascii="Arial" w:eastAsia="Times New Roman" w:hAnsi="Arial" w:cs="Arial"/>
          <w:color w:val="000000" w:themeColor="text1"/>
        </w:rPr>
        <w:t>O Plano Plurianual 2026–2029 do Município de Niterói é orientado pela visão de futuro expressa no Plano Estratégico “Niterói Que Queremos” (NQQ</w:t>
      </w:r>
      <w:r w:rsidR="4403CF78" w:rsidRPr="0090242E">
        <w:rPr>
          <w:rFonts w:ascii="Arial" w:eastAsia="Times New Roman" w:hAnsi="Arial" w:cs="Arial"/>
          <w:color w:val="000000" w:themeColor="text1"/>
        </w:rPr>
        <w:t>),</w:t>
      </w:r>
      <w:r w:rsidR="00366E11" w:rsidRPr="0090242E">
        <w:rPr>
          <w:rFonts w:ascii="Arial" w:eastAsia="Times New Roman" w:hAnsi="Arial" w:cs="Arial"/>
          <w:color w:val="000000" w:themeColor="text1"/>
        </w:rPr>
        <w:t xml:space="preserve"> instrumento que constitui referência central para o planejamento no Município.</w:t>
      </w:r>
    </w:p>
    <w:p w14:paraId="66C51D4D" w14:textId="481D3313" w:rsidR="7369FB96" w:rsidRPr="0090242E" w:rsidRDefault="00366E11" w:rsidP="7F2EAEBF">
      <w:pPr>
        <w:spacing w:line="276" w:lineRule="auto"/>
        <w:jc w:val="both"/>
        <w:rPr>
          <w:rFonts w:ascii="Arial" w:eastAsia="Times New Roman" w:hAnsi="Arial" w:cs="Arial"/>
        </w:rPr>
      </w:pPr>
      <w:r w:rsidRPr="0090242E" w:rsidDel="00366E11">
        <w:rPr>
          <w:rFonts w:ascii="Arial" w:eastAsia="Times New Roman" w:hAnsi="Arial" w:cs="Arial"/>
          <w:color w:val="000000" w:themeColor="text1"/>
        </w:rPr>
        <w:t xml:space="preserve">§2º. </w:t>
      </w:r>
      <w:r w:rsidR="293D58FD" w:rsidRPr="0090242E">
        <w:rPr>
          <w:rFonts w:ascii="Arial" w:eastAsia="Times New Roman" w:hAnsi="Arial" w:cs="Arial"/>
          <w:color w:val="000000" w:themeColor="text1"/>
        </w:rPr>
        <w:t>O</w:t>
      </w:r>
      <w:r w:rsidR="6143F366" w:rsidRPr="0090242E">
        <w:rPr>
          <w:rFonts w:ascii="Arial" w:eastAsia="Times New Roman" w:hAnsi="Arial" w:cs="Arial"/>
          <w:color w:val="000000" w:themeColor="text1"/>
        </w:rPr>
        <w:t xml:space="preserve"> PPA será atualizado anualmente</w:t>
      </w:r>
      <w:r w:rsidR="7369FB96" w:rsidRPr="0090242E">
        <w:rPr>
          <w:rFonts w:ascii="Arial" w:eastAsia="Times New Roman" w:hAnsi="Arial" w:cs="Arial"/>
          <w:color w:val="000000" w:themeColor="text1"/>
        </w:rPr>
        <w:t xml:space="preserve"> por intermédio da Lei de Diretrizes Orçamentárias (LDO), observando-se os princípios da compatibilidade e da coerência entre os instrumentos de planejamento.</w:t>
      </w:r>
    </w:p>
    <w:p w14:paraId="29152AD2" w14:textId="18A35129" w:rsidR="00927FA3" w:rsidRPr="0090242E" w:rsidRDefault="00927FA3" w:rsidP="00927FA3">
      <w:pPr>
        <w:jc w:val="both"/>
        <w:rPr>
          <w:rFonts w:ascii="Arial" w:hAnsi="Arial" w:cs="Arial"/>
        </w:rPr>
      </w:pPr>
      <w:r w:rsidRPr="0090242E">
        <w:rPr>
          <w:rFonts w:ascii="Arial" w:eastAsia="Times New Roman" w:hAnsi="Arial" w:cs="Arial"/>
        </w:rPr>
        <w:t>Art. 2º. Constituem as principais diretrizes do PPA 2026-2029:</w:t>
      </w:r>
    </w:p>
    <w:p w14:paraId="2C187975" w14:textId="77777777" w:rsidR="00927FA3" w:rsidRPr="0090242E" w:rsidRDefault="00927FA3" w:rsidP="00927FA3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 - Planejamento orientado para Resultados, com foco no aprimoramento contínuo das políticas públicas por meio do monitoramento e da avaliação de sua efetividade na mudança da realidade social;</w:t>
      </w:r>
    </w:p>
    <w:p w14:paraId="41F835B3" w14:textId="4C611061" w:rsidR="00927FA3" w:rsidRPr="0090242E" w:rsidRDefault="00927FA3" w:rsidP="00927FA3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lastRenderedPageBreak/>
        <w:t xml:space="preserve">II - Orçamento orientado para Resultados, a fim de aprimorar a qualidade do gasto público, garantindo a eficiência na alocação de recursos, </w:t>
      </w:r>
      <w:r w:rsidR="002C42F5" w:rsidRPr="0090242E">
        <w:rPr>
          <w:rFonts w:ascii="Arial" w:eastAsia="Times New Roman" w:hAnsi="Arial" w:cs="Arial"/>
        </w:rPr>
        <w:t xml:space="preserve">a </w:t>
      </w:r>
      <w:r w:rsidRPr="0090242E">
        <w:rPr>
          <w:rFonts w:ascii="Arial" w:eastAsia="Times New Roman" w:hAnsi="Arial" w:cs="Arial"/>
        </w:rPr>
        <w:t>transparência na gestão fiscal e</w:t>
      </w:r>
      <w:r w:rsidR="002C42F5" w:rsidRPr="0090242E">
        <w:rPr>
          <w:rFonts w:ascii="Arial" w:eastAsia="Times New Roman" w:hAnsi="Arial" w:cs="Arial"/>
        </w:rPr>
        <w:t xml:space="preserve"> o</w:t>
      </w:r>
      <w:r w:rsidRPr="0090242E">
        <w:rPr>
          <w:rFonts w:ascii="Arial" w:eastAsia="Times New Roman" w:hAnsi="Arial" w:cs="Arial"/>
        </w:rPr>
        <w:t xml:space="preserve"> equilíbrio das contas públicas;</w:t>
      </w:r>
    </w:p>
    <w:p w14:paraId="6A30F6B5" w14:textId="2408A2D8" w:rsidR="00927FA3" w:rsidRPr="0090242E" w:rsidRDefault="00927FA3" w:rsidP="00927FA3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III - Participação Cidadã,</w:t>
      </w:r>
      <w:r w:rsidRPr="0090242E">
        <w:rPr>
          <w:rFonts w:ascii="Arial" w:eastAsiaTheme="minorEastAsia" w:hAnsi="Arial" w:cs="Arial"/>
        </w:rPr>
        <w:t xml:space="preserve"> </w:t>
      </w:r>
      <w:r w:rsidR="72A7CE4F" w:rsidRPr="0090242E">
        <w:rPr>
          <w:rFonts w:ascii="Arial" w:eastAsiaTheme="minorEastAsia" w:hAnsi="Arial" w:cs="Arial"/>
        </w:rPr>
        <w:t>promovendo o engajamento da sociedade na</w:t>
      </w:r>
      <w:r w:rsidRPr="0090242E">
        <w:rPr>
          <w:rFonts w:ascii="Arial" w:eastAsiaTheme="minorEastAsia" w:hAnsi="Arial" w:cs="Arial"/>
        </w:rPr>
        <w:t xml:space="preserve"> definição das políticas públicas;</w:t>
      </w:r>
    </w:p>
    <w:p w14:paraId="7375600F" w14:textId="77777777" w:rsidR="00927FA3" w:rsidRPr="0090242E" w:rsidRDefault="00927FA3" w:rsidP="00927FA3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IV - Fortalecimento dos Objetivos de Desenvolvimento Sustentável (ODS) das Organizações das Nações Unidas (ONU), com vistas a erradicar a pobreza e promover vida digna para todos, fortalecendo o compromisso do município com a Agenda 2030; e</w:t>
      </w:r>
    </w:p>
    <w:p w14:paraId="78F30546" w14:textId="77777777" w:rsidR="00927FA3" w:rsidRPr="0090242E" w:rsidRDefault="00927FA3" w:rsidP="00927FA3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V - Transversalidade das políticas públicas, com a finalidade de integração entre órgãos e projetos, que possuem impactos diretos e indiretos em questões que afetem determinado(s) público-alvo(s).</w:t>
      </w:r>
    </w:p>
    <w:p w14:paraId="37D1A775" w14:textId="32B86888" w:rsidR="28EC0D89" w:rsidRPr="0090242E" w:rsidRDefault="28EC0D89" w:rsidP="7F2EAEBF">
      <w:pPr>
        <w:jc w:val="center"/>
        <w:rPr>
          <w:rFonts w:ascii="Arial" w:hAnsi="Arial" w:cs="Arial"/>
        </w:rPr>
      </w:pPr>
      <w:r w:rsidRPr="0090242E">
        <w:rPr>
          <w:rFonts w:ascii="Arial" w:eastAsia="Times New Roman" w:hAnsi="Arial" w:cs="Arial"/>
        </w:rPr>
        <w:t xml:space="preserve">CAPÍTULO II </w:t>
      </w:r>
    </w:p>
    <w:p w14:paraId="1E51676E" w14:textId="4164B0A2" w:rsidR="28EC0D89" w:rsidRPr="0090242E" w:rsidRDefault="28EC0D89" w:rsidP="7F2EAEBF">
      <w:pPr>
        <w:jc w:val="center"/>
        <w:rPr>
          <w:rFonts w:ascii="Arial" w:hAnsi="Arial" w:cs="Arial"/>
        </w:rPr>
      </w:pPr>
      <w:r w:rsidRPr="0090242E">
        <w:rPr>
          <w:rFonts w:ascii="Arial" w:eastAsia="Times New Roman" w:hAnsi="Arial" w:cs="Arial"/>
        </w:rPr>
        <w:t>DA ESTRUTURA E ORGANIZAÇÃO DO PLANO</w:t>
      </w:r>
    </w:p>
    <w:p w14:paraId="266DA5B7" w14:textId="692F1792" w:rsidR="7F2EAEBF" w:rsidRPr="0090242E" w:rsidRDefault="7F2EAEBF" w:rsidP="7F2EAEBF">
      <w:pPr>
        <w:jc w:val="center"/>
        <w:rPr>
          <w:rFonts w:ascii="Arial" w:eastAsia="Times New Roman" w:hAnsi="Arial" w:cs="Arial"/>
        </w:rPr>
      </w:pPr>
    </w:p>
    <w:p w14:paraId="01F88DA5" w14:textId="2AA0E07A" w:rsidR="00927FA3" w:rsidRPr="0090242E" w:rsidRDefault="00927FA3" w:rsidP="00927FA3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 xml:space="preserve">Art. 3º. Integram o PPA </w:t>
      </w:r>
      <w:r w:rsidR="2D7B7BA6" w:rsidRPr="0090242E">
        <w:rPr>
          <w:rFonts w:ascii="Arial" w:eastAsia="Times New Roman" w:hAnsi="Arial" w:cs="Arial"/>
        </w:rPr>
        <w:t>202</w:t>
      </w:r>
      <w:r w:rsidR="5ECAC130" w:rsidRPr="0090242E">
        <w:rPr>
          <w:rFonts w:ascii="Arial" w:eastAsia="Times New Roman" w:hAnsi="Arial" w:cs="Arial"/>
        </w:rPr>
        <w:t>6</w:t>
      </w:r>
      <w:r w:rsidR="2D7B7BA6" w:rsidRPr="0090242E">
        <w:rPr>
          <w:rFonts w:ascii="Arial" w:eastAsia="Times New Roman" w:hAnsi="Arial" w:cs="Arial"/>
        </w:rPr>
        <w:t>-202</w:t>
      </w:r>
      <w:r w:rsidR="49ECCF7B" w:rsidRPr="0090242E">
        <w:rPr>
          <w:rFonts w:ascii="Arial" w:eastAsia="Times New Roman" w:hAnsi="Arial" w:cs="Arial"/>
        </w:rPr>
        <w:t>9</w:t>
      </w:r>
      <w:r w:rsidRPr="0090242E">
        <w:rPr>
          <w:rFonts w:ascii="Arial" w:eastAsia="Times New Roman" w:hAnsi="Arial" w:cs="Arial"/>
        </w:rPr>
        <w:t xml:space="preserve"> os seguintes anexos:</w:t>
      </w:r>
    </w:p>
    <w:p w14:paraId="375EA405" w14:textId="77777777" w:rsidR="00927FA3" w:rsidRPr="0090242E" w:rsidRDefault="00927FA3" w:rsidP="00927FA3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Anexo I – Estrutura Consolidada do Plano Plurianual 2026-2029;</w:t>
      </w:r>
    </w:p>
    <w:p w14:paraId="44C72CAF" w14:textId="77777777" w:rsidR="00927FA3" w:rsidRPr="0090242E" w:rsidRDefault="00927FA3" w:rsidP="00927FA3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Anexo II – Demonstrativo das Ações de Apoio Administrativo e Operações Especiais;</w:t>
      </w:r>
    </w:p>
    <w:p w14:paraId="280A1064" w14:textId="77777777" w:rsidR="00927FA3" w:rsidRPr="0090242E" w:rsidRDefault="00927FA3" w:rsidP="00927FA3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Anexo III – Demonstrativo dos Indicadores de Impacto e de Resultado;</w:t>
      </w:r>
    </w:p>
    <w:p w14:paraId="25238580" w14:textId="4322D1B5" w:rsidR="00927FA3" w:rsidRPr="0090242E" w:rsidRDefault="00927FA3" w:rsidP="00927FA3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 xml:space="preserve">Anexo IV </w:t>
      </w:r>
      <w:r w:rsidR="00D06537" w:rsidRPr="0090242E">
        <w:rPr>
          <w:rFonts w:ascii="Arial" w:eastAsia="Times New Roman" w:hAnsi="Arial" w:cs="Arial"/>
        </w:rPr>
        <w:t xml:space="preserve">– </w:t>
      </w:r>
      <w:r w:rsidRPr="0090242E">
        <w:rPr>
          <w:rFonts w:ascii="Arial" w:eastAsia="Times New Roman" w:hAnsi="Arial" w:cs="Arial"/>
        </w:rPr>
        <w:t>Demonstrativo de Ações Orçamentárias e Produtos;</w:t>
      </w:r>
    </w:p>
    <w:p w14:paraId="5EC549AD" w14:textId="77777777" w:rsidR="00927FA3" w:rsidRPr="0090242E" w:rsidRDefault="5F1A8FF8" w:rsidP="5F1A8FF8">
      <w:pPr>
        <w:rPr>
          <w:rFonts w:ascii="Arial" w:eastAsia="Times New Roman" w:hAnsi="Arial" w:cs="Arial"/>
          <w:color w:val="0D0D0D" w:themeColor="text1" w:themeTint="F2"/>
        </w:rPr>
      </w:pPr>
      <w:r w:rsidRPr="0090242E">
        <w:rPr>
          <w:rFonts w:ascii="Arial" w:eastAsia="Times New Roman" w:hAnsi="Arial" w:cs="Arial"/>
          <w:color w:val="0D0D0D" w:themeColor="text1" w:themeTint="F2"/>
        </w:rPr>
        <w:t>Anexo V – Demonstrativo de Valores por Programa;</w:t>
      </w:r>
    </w:p>
    <w:p w14:paraId="51A86B4E" w14:textId="77777777" w:rsidR="00927FA3" w:rsidRPr="0090242E" w:rsidRDefault="00927FA3" w:rsidP="00927FA3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Anexo VI – Agendas Transversais;</w:t>
      </w:r>
    </w:p>
    <w:p w14:paraId="45297A09" w14:textId="77777777" w:rsidR="00927FA3" w:rsidRPr="0090242E" w:rsidRDefault="00927FA3" w:rsidP="00927FA3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Anexo VII – Participação Social refletida no PPA (PPA Participativo 2026-2029);</w:t>
      </w:r>
    </w:p>
    <w:p w14:paraId="633B77EB" w14:textId="77777777" w:rsidR="00927FA3" w:rsidRPr="0090242E" w:rsidRDefault="00927FA3" w:rsidP="00927FA3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Anexo VIII – Anexo de Metas e Prioridades para o exercício de 2026; e</w:t>
      </w:r>
    </w:p>
    <w:p w14:paraId="7B746B9A" w14:textId="77777777" w:rsidR="00927FA3" w:rsidRPr="0090242E" w:rsidRDefault="00927FA3" w:rsidP="00927FA3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Anexo IX – Anexo de Obras e Conservação para o exercício de 2026</w:t>
      </w:r>
    </w:p>
    <w:p w14:paraId="3C50EF1A" w14:textId="43AAC519" w:rsidR="00927FA3" w:rsidRPr="0090242E" w:rsidRDefault="00927FA3" w:rsidP="00927FA3">
      <w:pPr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 xml:space="preserve">Parágrafo Único. Os anexos </w:t>
      </w:r>
      <w:r w:rsidR="0428AF5B" w:rsidRPr="0090242E">
        <w:rPr>
          <w:rFonts w:ascii="Arial" w:eastAsia="Times New Roman" w:hAnsi="Arial" w:cs="Arial"/>
        </w:rPr>
        <w:t>VIII</w:t>
      </w:r>
      <w:r w:rsidR="00CA2EFB" w:rsidRPr="0090242E">
        <w:rPr>
          <w:rFonts w:ascii="Arial" w:eastAsia="Times New Roman" w:hAnsi="Arial" w:cs="Arial"/>
        </w:rPr>
        <w:t xml:space="preserve"> e IX</w:t>
      </w:r>
      <w:r w:rsidRPr="0090242E">
        <w:rPr>
          <w:rFonts w:ascii="Arial" w:eastAsia="Times New Roman" w:hAnsi="Arial" w:cs="Arial"/>
        </w:rPr>
        <w:t xml:space="preserve"> referem-se à Lei de Diretrizes Orçamentárias para o exercício de 2026, em cumprimento ao disposto no artigo 54 da Lei Municipal nº 4035/2025.</w:t>
      </w:r>
    </w:p>
    <w:p w14:paraId="221D6DBD" w14:textId="3504AC96" w:rsidR="7F2EAEBF" w:rsidRPr="0090242E" w:rsidRDefault="7F2EAEBF" w:rsidP="7F2EAEBF">
      <w:pPr>
        <w:jc w:val="center"/>
        <w:rPr>
          <w:rFonts w:ascii="Arial" w:eastAsia="Times New Roman" w:hAnsi="Arial" w:cs="Arial"/>
        </w:rPr>
      </w:pPr>
    </w:p>
    <w:p w14:paraId="0299FDDC" w14:textId="5AE7ED62" w:rsidR="15CA58DF" w:rsidRPr="0090242E" w:rsidRDefault="15CA58DF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lastRenderedPageBreak/>
        <w:t>Art. 4º</w:t>
      </w:r>
      <w:r w:rsidR="452FBBCF" w:rsidRPr="0090242E">
        <w:rPr>
          <w:rFonts w:ascii="Arial" w:eastAsia="Times New Roman" w:hAnsi="Arial" w:cs="Arial"/>
        </w:rPr>
        <w:t>.</w:t>
      </w:r>
      <w:r w:rsidRPr="0090242E">
        <w:rPr>
          <w:rFonts w:ascii="Arial" w:eastAsia="Times New Roman" w:hAnsi="Arial" w:cs="Arial"/>
        </w:rPr>
        <w:t xml:space="preserve"> O PPA 2026-2029 reflete as políticas públicas e organiza a atuação governamental para a entrega de bens e serviços à sociedade e o alcance dos resultados, e é estruturado da seguinte forma:</w:t>
      </w:r>
    </w:p>
    <w:p w14:paraId="2CE9D352" w14:textId="46A434C5" w:rsidR="15CA58DF" w:rsidRPr="0090242E" w:rsidRDefault="15CA58DF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 - Áreas de Resultado;</w:t>
      </w:r>
    </w:p>
    <w:p w14:paraId="4AADD88C" w14:textId="24894308" w:rsidR="15CA58DF" w:rsidRPr="0090242E" w:rsidRDefault="15CA58DF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 - Programas;</w:t>
      </w:r>
    </w:p>
    <w:p w14:paraId="74AB0790" w14:textId="27BF3B9F" w:rsidR="15CA58DF" w:rsidRPr="0090242E" w:rsidRDefault="15CA58DF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  <w:color w:val="000000" w:themeColor="text1"/>
        </w:rPr>
        <w:t>I</w:t>
      </w:r>
      <w:r w:rsidR="00843F90" w:rsidRPr="0090242E">
        <w:rPr>
          <w:rFonts w:ascii="Arial" w:eastAsia="Times New Roman" w:hAnsi="Arial" w:cs="Arial"/>
          <w:color w:val="000000" w:themeColor="text1"/>
        </w:rPr>
        <w:t>II</w:t>
      </w:r>
      <w:r w:rsidRPr="0090242E">
        <w:rPr>
          <w:rFonts w:ascii="Arial" w:eastAsia="Times New Roman" w:hAnsi="Arial" w:cs="Arial"/>
          <w:color w:val="000000" w:themeColor="text1"/>
        </w:rPr>
        <w:t xml:space="preserve"> - Produtos; e</w:t>
      </w:r>
    </w:p>
    <w:p w14:paraId="6B4E8661" w14:textId="6E5EF9C2" w:rsidR="15CA58DF" w:rsidRPr="0090242E" w:rsidRDefault="00843F90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I</w:t>
      </w:r>
      <w:r w:rsidR="15CA58DF" w:rsidRPr="0090242E">
        <w:rPr>
          <w:rFonts w:ascii="Arial" w:eastAsia="Times New Roman" w:hAnsi="Arial" w:cs="Arial"/>
          <w:color w:val="000000" w:themeColor="text1"/>
        </w:rPr>
        <w:t>V - Ações Orçamentárias</w:t>
      </w:r>
    </w:p>
    <w:p w14:paraId="498A29A7" w14:textId="04F6BC5D" w:rsidR="30FE0924" w:rsidRPr="0090242E" w:rsidRDefault="30FE0924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Art. 5º</w:t>
      </w:r>
      <w:r w:rsidR="66A96028" w:rsidRPr="0090242E">
        <w:rPr>
          <w:rFonts w:ascii="Arial" w:eastAsia="Times New Roman" w:hAnsi="Arial" w:cs="Arial"/>
          <w:color w:val="000000" w:themeColor="text1"/>
        </w:rPr>
        <w:t>.</w:t>
      </w:r>
      <w:r w:rsidRPr="0090242E">
        <w:rPr>
          <w:rFonts w:ascii="Arial" w:eastAsia="Times New Roman" w:hAnsi="Arial" w:cs="Arial"/>
          <w:color w:val="000000" w:themeColor="text1"/>
        </w:rPr>
        <w:t xml:space="preserve"> As Áreas de Resultado </w:t>
      </w:r>
      <w:r w:rsidR="00A5750C" w:rsidRPr="0090242E">
        <w:rPr>
          <w:rFonts w:ascii="Arial" w:eastAsia="Times New Roman" w:hAnsi="Arial" w:cs="Arial"/>
        </w:rPr>
        <w:t xml:space="preserve">são pilares de organização intersetorial e transversal das políticas públicas municipais previstas no Planejamento Estratégico Niterói Que Queremos 2013-2033, que demonstram os grandes resultados a serem alcançados e possibilitam o direcionamento dos esforços e recursos da gestão </w:t>
      </w:r>
      <w:r w:rsidRPr="0090242E">
        <w:rPr>
          <w:rFonts w:ascii="Arial" w:eastAsia="Times New Roman" w:hAnsi="Arial" w:cs="Arial"/>
          <w:color w:val="000000" w:themeColor="text1"/>
        </w:rPr>
        <w:t>estabelecidas da seguinte forma:</w:t>
      </w:r>
    </w:p>
    <w:p w14:paraId="0BE980CC" w14:textId="7FBAFF0E" w:rsidR="30FE0924" w:rsidRPr="0090242E" w:rsidRDefault="30FE0924" w:rsidP="123F69D8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.</w:t>
      </w:r>
    </w:p>
    <w:p w14:paraId="74C366DC" w14:textId="6024E8A9" w:rsidR="1143D810" w:rsidRPr="0090242E" w:rsidRDefault="1143D810" w:rsidP="123F69D8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</w:t>
      </w:r>
      <w:r w:rsidR="00F21BEA" w:rsidRPr="0090242E">
        <w:rPr>
          <w:rFonts w:ascii="Arial" w:eastAsia="Times New Roman" w:hAnsi="Arial" w:cs="Arial"/>
        </w:rPr>
        <w:t xml:space="preserve"> – </w:t>
      </w:r>
      <w:r w:rsidRPr="0090242E">
        <w:rPr>
          <w:rFonts w:ascii="Arial" w:eastAsia="Times New Roman" w:hAnsi="Arial" w:cs="Arial"/>
        </w:rPr>
        <w:t xml:space="preserve">Niterói Organizada e Segura: estruturada, bem cuidada, </w:t>
      </w:r>
      <w:r w:rsidR="40C8B3C9" w:rsidRPr="0090242E">
        <w:rPr>
          <w:rFonts w:ascii="Arial" w:eastAsia="Times New Roman" w:hAnsi="Arial" w:cs="Arial"/>
        </w:rPr>
        <w:t>promotora</w:t>
      </w:r>
      <w:r w:rsidR="63DFBB5B" w:rsidRPr="0090242E">
        <w:rPr>
          <w:rFonts w:ascii="Arial" w:eastAsia="Times New Roman" w:hAnsi="Arial" w:cs="Arial"/>
        </w:rPr>
        <w:t xml:space="preserve"> da</w:t>
      </w:r>
      <w:r w:rsidR="40C8B3C9" w:rsidRPr="0090242E">
        <w:rPr>
          <w:rFonts w:ascii="Arial" w:eastAsia="Times New Roman" w:hAnsi="Arial" w:cs="Arial"/>
        </w:rPr>
        <w:t xml:space="preserve"> </w:t>
      </w:r>
      <w:r w:rsidR="7E9DF6B8" w:rsidRPr="0090242E">
        <w:rPr>
          <w:rFonts w:ascii="Arial" w:eastAsia="Times New Roman" w:hAnsi="Arial" w:cs="Arial"/>
        </w:rPr>
        <w:t>resiliência</w:t>
      </w:r>
      <w:r w:rsidR="40C8B3C9" w:rsidRPr="0090242E">
        <w:rPr>
          <w:rFonts w:ascii="Arial" w:eastAsia="Times New Roman" w:hAnsi="Arial" w:cs="Arial"/>
        </w:rPr>
        <w:t xml:space="preserve"> climática e da mobilidade urbana sustentável, assim c</w:t>
      </w:r>
      <w:r w:rsidR="71F9AD3A" w:rsidRPr="0090242E">
        <w:rPr>
          <w:rFonts w:ascii="Arial" w:eastAsia="Times New Roman" w:hAnsi="Arial" w:cs="Arial"/>
        </w:rPr>
        <w:t>omo da segurança e do direito de ir e vir</w:t>
      </w:r>
      <w:r w:rsidRPr="0090242E">
        <w:rPr>
          <w:rFonts w:ascii="Arial" w:eastAsia="Times New Roman" w:hAnsi="Arial" w:cs="Arial"/>
        </w:rPr>
        <w:t>,</w:t>
      </w:r>
    </w:p>
    <w:p w14:paraId="41950C4C" w14:textId="689C8478" w:rsidR="1143D810" w:rsidRPr="0090242E" w:rsidRDefault="1143D810" w:rsidP="0621179C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</w:t>
      </w:r>
      <w:r w:rsidR="00F21BEA" w:rsidRPr="0090242E">
        <w:rPr>
          <w:rFonts w:ascii="Arial" w:eastAsia="Times New Roman" w:hAnsi="Arial" w:cs="Arial"/>
        </w:rPr>
        <w:t xml:space="preserve"> – </w:t>
      </w:r>
      <w:r w:rsidRPr="0090242E">
        <w:rPr>
          <w:rFonts w:ascii="Arial" w:eastAsia="Times New Roman" w:hAnsi="Arial" w:cs="Arial"/>
        </w:rPr>
        <w:t xml:space="preserve">Niterói Saudável: capaz de promover e cuidar da saúde, proporcionando maior qualidade de vida para sua população; </w:t>
      </w:r>
    </w:p>
    <w:p w14:paraId="5F0A44B6" w14:textId="1D09AB70" w:rsidR="1143D810" w:rsidRPr="0090242E" w:rsidRDefault="1143D810" w:rsidP="0621179C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III</w:t>
      </w:r>
      <w:r w:rsidR="00F21BEA" w:rsidRPr="0090242E">
        <w:rPr>
          <w:rFonts w:ascii="Arial" w:eastAsia="Times New Roman" w:hAnsi="Arial" w:cs="Arial"/>
        </w:rPr>
        <w:t xml:space="preserve"> – </w:t>
      </w:r>
      <w:r w:rsidRPr="0090242E">
        <w:rPr>
          <w:rFonts w:ascii="Arial" w:eastAsia="Times New Roman" w:hAnsi="Arial" w:cs="Arial"/>
        </w:rPr>
        <w:t xml:space="preserve">Niterói Escolarizada e Inovadora: </w:t>
      </w:r>
      <w:r w:rsidR="52ABE10E" w:rsidRPr="0090242E">
        <w:rPr>
          <w:rFonts w:ascii="Arial" w:eastAsia="Times New Roman" w:hAnsi="Arial" w:cs="Arial"/>
        </w:rPr>
        <w:t xml:space="preserve">promotora de tecnologia, </w:t>
      </w:r>
      <w:r w:rsidRPr="0090242E">
        <w:rPr>
          <w:rFonts w:ascii="Arial" w:eastAsia="Times New Roman" w:hAnsi="Arial" w:cs="Arial"/>
        </w:rPr>
        <w:t xml:space="preserve">conhecedora, inteligente e avançada, a partir de um sistema de </w:t>
      </w:r>
      <w:r w:rsidR="4791366B" w:rsidRPr="0090242E">
        <w:rPr>
          <w:rFonts w:ascii="Arial" w:eastAsia="Times New Roman" w:hAnsi="Arial" w:cs="Arial"/>
        </w:rPr>
        <w:t>aprendizagem inclusiva</w:t>
      </w:r>
      <w:r w:rsidR="361EBDF4" w:rsidRPr="0090242E">
        <w:rPr>
          <w:rFonts w:ascii="Arial" w:eastAsia="Times New Roman" w:hAnsi="Arial" w:cs="Arial"/>
        </w:rPr>
        <w:t xml:space="preserve"> </w:t>
      </w:r>
      <w:r w:rsidR="5318766E" w:rsidRPr="0090242E">
        <w:rPr>
          <w:rFonts w:ascii="Arial" w:eastAsia="Times New Roman" w:hAnsi="Arial" w:cs="Arial"/>
        </w:rPr>
        <w:t>e de</w:t>
      </w:r>
      <w:r w:rsidRPr="0090242E">
        <w:rPr>
          <w:rFonts w:ascii="Arial" w:eastAsia="Times New Roman" w:hAnsi="Arial" w:cs="Arial"/>
        </w:rPr>
        <w:t xml:space="preserve"> qualidade e um ambiente fortemente inovador; </w:t>
      </w:r>
    </w:p>
    <w:p w14:paraId="5134A6A0" w14:textId="16A8CB38" w:rsidR="1143D810" w:rsidRPr="0090242E" w:rsidRDefault="1143D810" w:rsidP="0621179C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IV</w:t>
      </w:r>
      <w:r w:rsidR="00F21BEA" w:rsidRPr="0090242E">
        <w:rPr>
          <w:rFonts w:ascii="Arial" w:eastAsia="Times New Roman" w:hAnsi="Arial" w:cs="Arial"/>
        </w:rPr>
        <w:t xml:space="preserve"> – </w:t>
      </w:r>
      <w:r w:rsidRPr="0090242E">
        <w:rPr>
          <w:rFonts w:ascii="Arial" w:eastAsia="Times New Roman" w:hAnsi="Arial" w:cs="Arial"/>
        </w:rPr>
        <w:t>Niterói Próspera e Dinâmica: dinâmica, empregadora</w:t>
      </w:r>
      <w:r w:rsidR="7DE5D6BD" w:rsidRPr="0090242E">
        <w:rPr>
          <w:rFonts w:ascii="Arial" w:eastAsia="Times New Roman" w:hAnsi="Arial" w:cs="Arial"/>
        </w:rPr>
        <w:t>, empreendedora, por meio</w:t>
      </w:r>
      <w:r w:rsidRPr="0090242E">
        <w:rPr>
          <w:rFonts w:ascii="Arial" w:eastAsia="Times New Roman" w:hAnsi="Arial" w:cs="Arial"/>
        </w:rPr>
        <w:t xml:space="preserve"> de </w:t>
      </w:r>
      <w:r w:rsidR="7DE5D6BD" w:rsidRPr="0090242E">
        <w:rPr>
          <w:rFonts w:ascii="Arial" w:eastAsia="Times New Roman" w:hAnsi="Arial" w:cs="Arial"/>
        </w:rPr>
        <w:t>uma economia</w:t>
      </w:r>
      <w:r w:rsidRPr="0090242E">
        <w:rPr>
          <w:rFonts w:ascii="Arial" w:eastAsia="Times New Roman" w:hAnsi="Arial" w:cs="Arial"/>
        </w:rPr>
        <w:t xml:space="preserve"> diversificada</w:t>
      </w:r>
      <w:r w:rsidR="1AD7C5E9" w:rsidRPr="0090242E">
        <w:rPr>
          <w:rFonts w:ascii="Arial" w:eastAsia="Times New Roman" w:hAnsi="Arial" w:cs="Arial"/>
        </w:rPr>
        <w:t>, tecnológica e sustentável;</w:t>
      </w:r>
    </w:p>
    <w:p w14:paraId="0F4E1030" w14:textId="7B55C63D" w:rsidR="1143D810" w:rsidRPr="0090242E" w:rsidRDefault="45D3537C" w:rsidP="03DC28A7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V</w:t>
      </w:r>
      <w:r w:rsidR="139BFF4F" w:rsidRPr="0090242E">
        <w:rPr>
          <w:rFonts w:ascii="Arial" w:eastAsia="Times New Roman" w:hAnsi="Arial" w:cs="Arial"/>
        </w:rPr>
        <w:t xml:space="preserve"> – </w:t>
      </w:r>
      <w:r w:rsidRPr="0090242E">
        <w:rPr>
          <w:rFonts w:ascii="Arial" w:eastAsia="Times New Roman" w:hAnsi="Arial" w:cs="Arial"/>
        </w:rPr>
        <w:t xml:space="preserve">Niterói Vibrante e Atraente: </w:t>
      </w:r>
      <w:r w:rsidR="63493131" w:rsidRPr="0090242E">
        <w:rPr>
          <w:rFonts w:ascii="Arial" w:eastAsia="Times New Roman" w:hAnsi="Arial" w:cs="Arial"/>
        </w:rPr>
        <w:t xml:space="preserve">promotora da cultura, </w:t>
      </w:r>
      <w:r w:rsidRPr="0090242E">
        <w:rPr>
          <w:rFonts w:ascii="Arial" w:eastAsia="Times New Roman" w:hAnsi="Arial" w:cs="Arial"/>
        </w:rPr>
        <w:t xml:space="preserve">receptiva, acolhedora e </w:t>
      </w:r>
      <w:r w:rsidR="23A3FF3C" w:rsidRPr="0090242E">
        <w:rPr>
          <w:rFonts w:ascii="Arial" w:eastAsia="Times New Roman" w:hAnsi="Arial" w:cs="Arial"/>
        </w:rPr>
        <w:t>com responsabilidade com meio o ambiente. Fortalecedora do esporte como transformação.</w:t>
      </w:r>
    </w:p>
    <w:p w14:paraId="687C01FA" w14:textId="743A350D" w:rsidR="1143D810" w:rsidRPr="0090242E" w:rsidRDefault="45D3537C" w:rsidP="123F69D8">
      <w:pPr>
        <w:spacing w:line="278" w:lineRule="auto"/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VI</w:t>
      </w:r>
      <w:r w:rsidR="139BFF4F" w:rsidRPr="0090242E">
        <w:rPr>
          <w:rFonts w:ascii="Arial" w:eastAsia="Times New Roman" w:hAnsi="Arial" w:cs="Arial"/>
        </w:rPr>
        <w:t xml:space="preserve"> – </w:t>
      </w:r>
      <w:r w:rsidR="081AC5E2" w:rsidRPr="0090242E">
        <w:rPr>
          <w:rFonts w:ascii="Arial" w:eastAsia="Times New Roman" w:hAnsi="Arial" w:cs="Arial"/>
        </w:rPr>
        <w:t>Niterói Inclusiva: defensora da promoção da proteção social e igualdade de oportunidades e de acesso a direito para todos, especialmente aos grupos vulneráveis</w:t>
      </w:r>
    </w:p>
    <w:p w14:paraId="121C3B05" w14:textId="3E1061F3" w:rsidR="1143D810" w:rsidRPr="0090242E" w:rsidRDefault="081AC5E2" w:rsidP="123F69D8">
      <w:pPr>
        <w:spacing w:line="278" w:lineRule="auto"/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VII – Niterói Eficiente e Comprometida: transparente, participativa e resolutiva, com foco em gestão voltado para resultados e aprimoramento e otimização de processos, projetos e fluxos.</w:t>
      </w:r>
    </w:p>
    <w:p w14:paraId="0C8D8CC9" w14:textId="40B2519F" w:rsidR="1143D810" w:rsidRPr="0090242E" w:rsidRDefault="1143D810" w:rsidP="0621179C">
      <w:pPr>
        <w:jc w:val="both"/>
        <w:rPr>
          <w:rFonts w:ascii="Arial" w:eastAsia="Times New Roman" w:hAnsi="Arial" w:cs="Arial"/>
        </w:rPr>
      </w:pPr>
    </w:p>
    <w:p w14:paraId="0DAB0B60" w14:textId="60C4B195" w:rsidR="30FE0924" w:rsidRPr="0090242E" w:rsidRDefault="5F1A8FF8" w:rsidP="5F1A8FF8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§1º. Além das Áreas de Resultado</w:t>
      </w:r>
      <w:r w:rsidR="2D2B9897" w:rsidRPr="0090242E">
        <w:rPr>
          <w:rFonts w:ascii="Arial" w:eastAsia="Times New Roman" w:hAnsi="Arial" w:cs="Arial"/>
          <w:color w:val="000000" w:themeColor="text1"/>
        </w:rPr>
        <w:t>,</w:t>
      </w:r>
      <w:r w:rsidRPr="0090242E">
        <w:rPr>
          <w:rFonts w:ascii="Arial" w:eastAsia="Times New Roman" w:hAnsi="Arial" w:cs="Arial"/>
          <w:color w:val="000000" w:themeColor="text1"/>
        </w:rPr>
        <w:t xml:space="preserve"> o PPA 2026-2029 prevê, também, uma área para o Poder Legislativo</w:t>
      </w:r>
      <w:r w:rsidR="1156FDF0" w:rsidRPr="0090242E">
        <w:rPr>
          <w:rFonts w:ascii="Arial" w:eastAsia="Times New Roman" w:hAnsi="Arial" w:cs="Arial"/>
          <w:color w:val="000000" w:themeColor="text1"/>
        </w:rPr>
        <w:t>.</w:t>
      </w:r>
    </w:p>
    <w:p w14:paraId="21F76C9B" w14:textId="50FD556E" w:rsidR="54D46333" w:rsidRPr="0090242E" w:rsidRDefault="54D46333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lastRenderedPageBreak/>
        <w:t>§2º. Cada Área de Resultado admite a vinculação de um Indicador de Impacto — de natureza abrangente e multidimensional — que mede os efeitos das estratégias governamentais de médio e longo prazos na vida dos cidadãos, com meta estabelecida para 2029, e é composta por Objetivos Estratégicos, que representam a tradução concreta das diretrizes e transformações pretendidas por cada Área de Resultado.</w:t>
      </w:r>
    </w:p>
    <w:p w14:paraId="106E3F07" w14:textId="7C3B434D" w:rsidR="54D46333" w:rsidRPr="0090242E" w:rsidRDefault="54D46333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Art. 6º. Os Programas são instrumentos de organização da atuação governamental que articulam um conjunto de ações com o objetivo de superar os desafios e alcançar os resultados desejados, buscando atender as demandas da sociedade ou, ainda, criar oportunidades de desenvolvimento e crescimento para a cidade</w:t>
      </w:r>
      <w:r w:rsidR="00CA36F8" w:rsidRPr="0090242E">
        <w:rPr>
          <w:rFonts w:ascii="Arial" w:eastAsia="Times New Roman" w:hAnsi="Arial" w:cs="Arial"/>
          <w:color w:val="000000" w:themeColor="text1"/>
        </w:rPr>
        <w:t>.</w:t>
      </w:r>
    </w:p>
    <w:p w14:paraId="5E384871" w14:textId="6C175842" w:rsidR="51B94547" w:rsidRPr="0090242E" w:rsidRDefault="51B94547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§1º. Os Programas são classificados em:</w:t>
      </w:r>
    </w:p>
    <w:p w14:paraId="379506F2" w14:textId="016BB8DA" w:rsidR="51B94547" w:rsidRPr="0090242E" w:rsidRDefault="51B94547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I - Finalístico</w:t>
      </w:r>
      <w:r w:rsidR="00364B27" w:rsidRPr="0090242E">
        <w:rPr>
          <w:rFonts w:ascii="Arial" w:eastAsia="Times New Roman" w:hAnsi="Arial" w:cs="Arial"/>
          <w:color w:val="000000" w:themeColor="text1"/>
        </w:rPr>
        <w:t>s</w:t>
      </w:r>
      <w:r w:rsidRPr="0090242E">
        <w:rPr>
          <w:rFonts w:ascii="Arial" w:eastAsia="Times New Roman" w:hAnsi="Arial" w:cs="Arial"/>
          <w:color w:val="000000" w:themeColor="text1"/>
        </w:rPr>
        <w:t>: organizado</w:t>
      </w:r>
      <w:r w:rsidR="00364B27" w:rsidRPr="0090242E">
        <w:rPr>
          <w:rFonts w:ascii="Arial" w:eastAsia="Times New Roman" w:hAnsi="Arial" w:cs="Arial"/>
          <w:color w:val="000000" w:themeColor="text1"/>
        </w:rPr>
        <w:t>s</w:t>
      </w:r>
      <w:r w:rsidRPr="0090242E">
        <w:rPr>
          <w:rFonts w:ascii="Arial" w:eastAsia="Times New Roman" w:hAnsi="Arial" w:cs="Arial"/>
          <w:color w:val="000000" w:themeColor="text1"/>
        </w:rPr>
        <w:t xml:space="preserve"> por recortes selecionados de políticas públicas, orienta</w:t>
      </w:r>
      <w:r w:rsidR="001B7D7A" w:rsidRPr="0090242E">
        <w:rPr>
          <w:rFonts w:ascii="Arial" w:eastAsia="Times New Roman" w:hAnsi="Arial" w:cs="Arial"/>
          <w:color w:val="000000" w:themeColor="text1"/>
        </w:rPr>
        <w:t>m</w:t>
      </w:r>
      <w:r w:rsidRPr="0090242E">
        <w:rPr>
          <w:rFonts w:ascii="Arial" w:eastAsia="Times New Roman" w:hAnsi="Arial" w:cs="Arial"/>
          <w:color w:val="000000" w:themeColor="text1"/>
        </w:rPr>
        <w:t xml:space="preserve"> a ação governamental para a entrega de bens ou serviços à sociedade, podendo requerer atuação de diferentes órgãos e entidades vinculadas;</w:t>
      </w:r>
    </w:p>
    <w:p w14:paraId="1BD418CE" w14:textId="53961060" w:rsidR="51B94547" w:rsidRPr="0090242E" w:rsidRDefault="51B94547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II - De Gestão: voltados para o funcionamento da máquina administrativa e destinados ao apoio, à gestão e à manutenção da atuação governamental; e</w:t>
      </w:r>
    </w:p>
    <w:p w14:paraId="0EAE14F2" w14:textId="6A36D01C" w:rsidR="51B94547" w:rsidRPr="0090242E" w:rsidRDefault="51B94547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 xml:space="preserve">III - De </w:t>
      </w:r>
      <w:r w:rsidR="00475E6E" w:rsidRPr="0090242E">
        <w:rPr>
          <w:rFonts w:ascii="Arial" w:eastAsia="Times New Roman" w:hAnsi="Arial" w:cs="Arial"/>
          <w:color w:val="000000" w:themeColor="text1"/>
        </w:rPr>
        <w:t xml:space="preserve">Operações </w:t>
      </w:r>
      <w:r w:rsidR="039FC88F" w:rsidRPr="0090242E">
        <w:rPr>
          <w:rFonts w:ascii="Arial" w:eastAsia="Times New Roman" w:hAnsi="Arial" w:cs="Arial"/>
          <w:color w:val="000000" w:themeColor="text1"/>
        </w:rPr>
        <w:t>Especiais</w:t>
      </w:r>
      <w:r w:rsidRPr="0090242E">
        <w:rPr>
          <w:rFonts w:ascii="Arial" w:eastAsia="Times New Roman" w:hAnsi="Arial" w:cs="Arial"/>
          <w:color w:val="000000" w:themeColor="text1"/>
        </w:rPr>
        <w:t>: despesas que não contribuem para a manutenção, expansão ou aperfeiçoamento das ações de governo, das quais não resulta um produto e não geram contraprestação direta sob a forma de bens ou serviços.</w:t>
      </w:r>
    </w:p>
    <w:p w14:paraId="36319C69" w14:textId="1746B232" w:rsidR="51B94547" w:rsidRPr="0090242E" w:rsidRDefault="51B94547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 xml:space="preserve">Art. 7º. Os Programas Finalísticos do PPA 2026-2029 </w:t>
      </w:r>
      <w:r w:rsidR="00843F90" w:rsidRPr="0090242E">
        <w:rPr>
          <w:rFonts w:ascii="Arial" w:eastAsia="Times New Roman" w:hAnsi="Arial" w:cs="Arial"/>
          <w:color w:val="000000" w:themeColor="text1"/>
        </w:rPr>
        <w:t>possuem os seguintes atributos</w:t>
      </w:r>
      <w:r w:rsidRPr="0090242E">
        <w:rPr>
          <w:rFonts w:ascii="Arial" w:eastAsia="Times New Roman" w:hAnsi="Arial" w:cs="Arial"/>
          <w:color w:val="000000" w:themeColor="text1"/>
        </w:rPr>
        <w:t>:</w:t>
      </w:r>
    </w:p>
    <w:p w14:paraId="327D4045" w14:textId="224F920F" w:rsidR="51B94547" w:rsidRPr="0090242E" w:rsidRDefault="51B94547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 xml:space="preserve">I - Descrição: o propósito do programa e os resultados </w:t>
      </w:r>
      <w:r w:rsidR="06C8916F" w:rsidRPr="0090242E">
        <w:rPr>
          <w:rFonts w:ascii="Arial" w:eastAsia="Times New Roman" w:hAnsi="Arial" w:cs="Arial"/>
          <w:color w:val="000000" w:themeColor="text1"/>
        </w:rPr>
        <w:t>a</w:t>
      </w:r>
      <w:r w:rsidRPr="0090242E">
        <w:rPr>
          <w:rFonts w:ascii="Arial" w:eastAsia="Times New Roman" w:hAnsi="Arial" w:cs="Arial"/>
          <w:color w:val="000000" w:themeColor="text1"/>
        </w:rPr>
        <w:t xml:space="preserve"> alcançar;</w:t>
      </w:r>
    </w:p>
    <w:p w14:paraId="5AB46FB9" w14:textId="27282539" w:rsidR="51B94547" w:rsidRPr="0090242E" w:rsidRDefault="51B94547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 xml:space="preserve">II - Objetivos Específicos: </w:t>
      </w:r>
      <w:r w:rsidR="004C31C6" w:rsidRPr="0090242E">
        <w:rPr>
          <w:rFonts w:ascii="Arial" w:eastAsia="Times New Roman" w:hAnsi="Arial" w:cs="Arial"/>
          <w:color w:val="000000" w:themeColor="text1"/>
        </w:rPr>
        <w:t xml:space="preserve">representam </w:t>
      </w:r>
      <w:r w:rsidRPr="0090242E">
        <w:rPr>
          <w:rFonts w:ascii="Arial" w:eastAsia="Times New Roman" w:hAnsi="Arial" w:cs="Arial"/>
          <w:color w:val="000000" w:themeColor="text1"/>
        </w:rPr>
        <w:t xml:space="preserve">recortes dos Programas que </w:t>
      </w:r>
      <w:r w:rsidR="7EA58E30" w:rsidRPr="0090242E">
        <w:rPr>
          <w:rFonts w:ascii="Arial" w:eastAsia="Times New Roman" w:hAnsi="Arial" w:cs="Arial"/>
          <w:color w:val="000000" w:themeColor="text1"/>
        </w:rPr>
        <w:t>transmitem</w:t>
      </w:r>
      <w:r w:rsidR="00A2153C" w:rsidRPr="0090242E">
        <w:rPr>
          <w:rFonts w:ascii="Arial" w:eastAsia="Times New Roman" w:hAnsi="Arial" w:cs="Arial"/>
          <w:color w:val="000000" w:themeColor="text1"/>
        </w:rPr>
        <w:t>,</w:t>
      </w:r>
      <w:r w:rsidRPr="0090242E">
        <w:rPr>
          <w:rFonts w:ascii="Arial" w:eastAsia="Times New Roman" w:hAnsi="Arial" w:cs="Arial"/>
          <w:color w:val="000000" w:themeColor="text1"/>
        </w:rPr>
        <w:t xml:space="preserve"> objetivamente</w:t>
      </w:r>
      <w:r w:rsidR="00A2153C" w:rsidRPr="0090242E">
        <w:rPr>
          <w:rFonts w:ascii="Arial" w:eastAsia="Times New Roman" w:hAnsi="Arial" w:cs="Arial"/>
          <w:color w:val="000000" w:themeColor="text1"/>
        </w:rPr>
        <w:t>,</w:t>
      </w:r>
      <w:r w:rsidRPr="0090242E">
        <w:rPr>
          <w:rFonts w:ascii="Arial" w:eastAsia="Times New Roman" w:hAnsi="Arial" w:cs="Arial"/>
          <w:color w:val="000000" w:themeColor="text1"/>
        </w:rPr>
        <w:t xml:space="preserve"> quais os principais resultados </w:t>
      </w:r>
      <w:r w:rsidR="00C5534E" w:rsidRPr="0090242E">
        <w:rPr>
          <w:rFonts w:ascii="Arial" w:eastAsia="Times New Roman" w:hAnsi="Arial" w:cs="Arial"/>
          <w:color w:val="000000" w:themeColor="text1"/>
        </w:rPr>
        <w:t xml:space="preserve">a serem </w:t>
      </w:r>
      <w:r w:rsidR="1FCC88F5" w:rsidRPr="0090242E">
        <w:rPr>
          <w:rFonts w:ascii="Arial" w:eastAsia="Times New Roman" w:hAnsi="Arial" w:cs="Arial"/>
          <w:color w:val="000000" w:themeColor="text1"/>
        </w:rPr>
        <w:t>alcançados</w:t>
      </w:r>
      <w:r w:rsidRPr="0090242E">
        <w:rPr>
          <w:rFonts w:ascii="Arial" w:eastAsia="Times New Roman" w:hAnsi="Arial" w:cs="Arial"/>
          <w:color w:val="000000" w:themeColor="text1"/>
        </w:rPr>
        <w:t>;</w:t>
      </w:r>
    </w:p>
    <w:p w14:paraId="5A53C9BE" w14:textId="66B0954B" w:rsidR="51B94547" w:rsidRPr="0090242E" w:rsidRDefault="51B94547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III - Público-alvo: segmento da sociedade que se beneficia de forma direta pela execução do Programa;</w:t>
      </w:r>
    </w:p>
    <w:p w14:paraId="730A9E5F" w14:textId="15911FA9" w:rsidR="51B94547" w:rsidRPr="0090242E" w:rsidRDefault="51B94547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 xml:space="preserve">IV - Indicador de Resultado e suas metas: medida que expressa os benefícios para o público-alvo decorrentes das ações do Programa e que tem particular importância no contexto da gestão pública orientada a resultados; </w:t>
      </w:r>
    </w:p>
    <w:p w14:paraId="4B430AC5" w14:textId="1AD42564" w:rsidR="51B94547" w:rsidRPr="0090242E" w:rsidRDefault="51B94547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V - Objetivos do Desenvolvimento Sustentável (ODS): objetivos e metas indicados na Agenda 2030 da ONU, que estarão alinhados aos Programas estabelecidos no PPA; e</w:t>
      </w:r>
    </w:p>
    <w:p w14:paraId="352A92DA" w14:textId="52BC5950" w:rsidR="51B94547" w:rsidRPr="0090242E" w:rsidRDefault="5F1A8FF8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 xml:space="preserve">VI - Valor global: meta financeira estimada para o custo total do programa, distribuído </w:t>
      </w:r>
      <w:r w:rsidRPr="0090242E">
        <w:rPr>
          <w:rFonts w:ascii="Arial" w:eastAsia="Times New Roman" w:hAnsi="Arial" w:cs="Arial"/>
        </w:rPr>
        <w:t xml:space="preserve">anualmente e obtido através do somatório de custeio e investimentos previstos no conjunto de ações contidas no </w:t>
      </w:r>
      <w:r w:rsidRPr="0090242E">
        <w:rPr>
          <w:rFonts w:ascii="Arial" w:eastAsia="Times New Roman" w:hAnsi="Arial" w:cs="Arial"/>
          <w:color w:val="000000" w:themeColor="text1"/>
        </w:rPr>
        <w:t>programa;</w:t>
      </w:r>
    </w:p>
    <w:p w14:paraId="12E77908" w14:textId="7E086845" w:rsidR="6B4BAAA2" w:rsidRPr="0090242E" w:rsidRDefault="6B4BAAA2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lastRenderedPageBreak/>
        <w:t xml:space="preserve">Art. 8º. </w:t>
      </w:r>
      <w:r w:rsidR="16D47F49" w:rsidRPr="0090242E">
        <w:rPr>
          <w:rFonts w:ascii="Arial" w:eastAsia="Times New Roman" w:hAnsi="Arial" w:cs="Arial"/>
          <w:color w:val="000000" w:themeColor="text1"/>
        </w:rPr>
        <w:t xml:space="preserve"> Os Produtos expressam os bens e serviços pretendidos, com vistas ao atingimento do objetivo e resultados do Programa.</w:t>
      </w:r>
    </w:p>
    <w:p w14:paraId="5BF204AF" w14:textId="50EFDA65" w:rsidR="03DC28A7" w:rsidRPr="0090242E" w:rsidRDefault="03DC28A7" w:rsidP="03DC28A7">
      <w:pPr>
        <w:jc w:val="both"/>
        <w:rPr>
          <w:rFonts w:ascii="Arial" w:eastAsia="Times New Roman" w:hAnsi="Arial" w:cs="Arial"/>
          <w:color w:val="000000" w:themeColor="text1"/>
        </w:rPr>
      </w:pPr>
    </w:p>
    <w:p w14:paraId="5D6D3169" w14:textId="5C514CA3" w:rsidR="6B4BAAA2" w:rsidRPr="0090242E" w:rsidRDefault="6B4BAAA2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§1</w:t>
      </w:r>
      <w:r w:rsidR="029669B3" w:rsidRPr="0090242E">
        <w:rPr>
          <w:rFonts w:ascii="Arial" w:eastAsia="Times New Roman" w:hAnsi="Arial" w:cs="Arial"/>
          <w:color w:val="000000" w:themeColor="text1"/>
        </w:rPr>
        <w:t>º.</w:t>
      </w:r>
      <w:r w:rsidRPr="0090242E">
        <w:rPr>
          <w:rFonts w:ascii="Arial" w:eastAsia="Times New Roman" w:hAnsi="Arial" w:cs="Arial"/>
          <w:color w:val="000000" w:themeColor="text1"/>
        </w:rPr>
        <w:t xml:space="preserve"> Os Produtos serão indicados por:</w:t>
      </w:r>
    </w:p>
    <w:p w14:paraId="476E3A27" w14:textId="6ED45B79" w:rsidR="6B4BAAA2" w:rsidRPr="0090242E" w:rsidRDefault="6B4BAAA2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I - Descrição: explica o objetivo do produto e sua importância;</w:t>
      </w:r>
    </w:p>
    <w:p w14:paraId="3E1562B5" w14:textId="7CC31683" w:rsidR="6B4BAAA2" w:rsidRPr="0090242E" w:rsidRDefault="6B4BAAA2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II - Órgão Gestor: responsável por coordenar a entrega do produto;</w:t>
      </w:r>
    </w:p>
    <w:p w14:paraId="0319353F" w14:textId="50327D4F" w:rsidR="6B4BAAA2" w:rsidRPr="0090242E" w:rsidRDefault="6B4BAAA2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III - Meta física: indica a quantidade de entregas de bens e ou serviços do Produto especificadas para cada ano de vigência do PPA 2026-2029;</w:t>
      </w:r>
    </w:p>
    <w:p w14:paraId="48064AD6" w14:textId="5E562495" w:rsidR="6B4BAAA2" w:rsidRPr="0090242E" w:rsidRDefault="6B4BAAA2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IV - Regionalização: a possibilidade de indicar em quais regiões administrativas de Niterói (Praias da Baía, Norte, Oceânica, Pendotiba, Leste) o produto será entregue; e</w:t>
      </w:r>
    </w:p>
    <w:p w14:paraId="7B4D9857" w14:textId="11446B1E" w:rsidR="6B4BAAA2" w:rsidRPr="0090242E" w:rsidRDefault="6B4BAAA2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V - Agenda Transversal: forma de agrupar e visualizar entregas que envolvam vários setores do governo e tratem de diferentes políticas para resolver problemas complexos e estruturais de um público-alvo.</w:t>
      </w:r>
    </w:p>
    <w:p w14:paraId="59A33A18" w14:textId="08CEEF93" w:rsidR="2C781AA0" w:rsidRPr="0090242E" w:rsidRDefault="2C781AA0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VI - Ação orçamentária, conjunto de operações das quais resultam produtos (bens ou serviços) para a sociedade ou para o Estado, e que contribuem para atender ao objetivo de um programa.</w:t>
      </w:r>
    </w:p>
    <w:p w14:paraId="37E76A14" w14:textId="211F01A4" w:rsidR="2C781AA0" w:rsidRPr="0090242E" w:rsidRDefault="00366E11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</w:rPr>
        <w:t>Art. 9º</w:t>
      </w:r>
      <w:r w:rsidR="2C781AA0" w:rsidRPr="0090242E">
        <w:rPr>
          <w:rFonts w:ascii="Arial" w:eastAsia="Times New Roman" w:hAnsi="Arial" w:cs="Arial"/>
          <w:color w:val="000000" w:themeColor="text1"/>
        </w:rPr>
        <w:t>. As Ações Orçamentárias serão indicadas:</w:t>
      </w:r>
    </w:p>
    <w:p w14:paraId="09A10594" w14:textId="4B4477EE" w:rsidR="1351A88B" w:rsidRPr="0090242E" w:rsidRDefault="1351A88B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I - Quanto a Tipologia</w:t>
      </w:r>
      <w:r w:rsidR="00366E11" w:rsidRPr="0090242E">
        <w:rPr>
          <w:rFonts w:ascii="Arial" w:eastAsia="Times New Roman" w:hAnsi="Arial" w:cs="Arial"/>
          <w:color w:val="000000" w:themeColor="text1"/>
        </w:rPr>
        <w:t>, que por sua vez poderá ser por</w:t>
      </w:r>
      <w:r w:rsidRPr="0090242E">
        <w:rPr>
          <w:rFonts w:ascii="Arial" w:eastAsia="Times New Roman" w:hAnsi="Arial" w:cs="Arial"/>
          <w:color w:val="000000" w:themeColor="text1"/>
        </w:rPr>
        <w:t>:</w:t>
      </w:r>
    </w:p>
    <w:p w14:paraId="668BE97E" w14:textId="0C6B2B4D" w:rsidR="0AD28C49" w:rsidRPr="0090242E" w:rsidRDefault="0AD28C49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 xml:space="preserve">a) </w:t>
      </w:r>
      <w:r w:rsidR="47A196B4" w:rsidRPr="0090242E">
        <w:rPr>
          <w:rFonts w:ascii="Arial" w:eastAsia="Times New Roman" w:hAnsi="Arial" w:cs="Arial"/>
          <w:color w:val="000000" w:themeColor="text1"/>
        </w:rPr>
        <w:t>Projeto: instrumento de programação utilizado para alcançar o objetivo de um Programa, envolvendo um conjunto de operações, limitadas no tempo, das quais resulta um produto que concorre para a expansão ou o aperfeiçoamento da ação de governo;</w:t>
      </w:r>
    </w:p>
    <w:p w14:paraId="7DEECE39" w14:textId="0F751B5B" w:rsidR="5417ACE6" w:rsidRPr="0090242E" w:rsidRDefault="5417ACE6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>b</w:t>
      </w:r>
      <w:r w:rsidR="56AE64EB" w:rsidRPr="0090242E">
        <w:rPr>
          <w:rFonts w:ascii="Arial" w:eastAsia="Times New Roman" w:hAnsi="Arial" w:cs="Arial"/>
          <w:color w:val="000000" w:themeColor="text1"/>
        </w:rPr>
        <w:t xml:space="preserve">) </w:t>
      </w:r>
      <w:r w:rsidR="47A196B4" w:rsidRPr="0090242E">
        <w:rPr>
          <w:rFonts w:ascii="Arial" w:eastAsia="Times New Roman" w:hAnsi="Arial" w:cs="Arial"/>
          <w:color w:val="000000" w:themeColor="text1"/>
        </w:rPr>
        <w:t>Atividade: instrumento de programação utilizado para alcançar o objetivo de um Programa, envolvendo um conjunto de operações que se realizam de modo contínuo e permanente, das quais resulta um produto ou serviço necessário à manutenção da ação de Governo</w:t>
      </w:r>
      <w:r w:rsidR="0633E145" w:rsidRPr="0090242E">
        <w:rPr>
          <w:rFonts w:ascii="Arial" w:eastAsia="Times New Roman" w:hAnsi="Arial" w:cs="Arial"/>
          <w:color w:val="000000" w:themeColor="text1"/>
        </w:rPr>
        <w:t>.</w:t>
      </w:r>
    </w:p>
    <w:p w14:paraId="32EC46C8" w14:textId="51A8509D" w:rsidR="7F2EAEBF" w:rsidRPr="0090242E" w:rsidRDefault="7F2EAEBF" w:rsidP="123F69D8">
      <w:pPr>
        <w:jc w:val="both"/>
        <w:rPr>
          <w:rFonts w:ascii="Arial" w:eastAsia="Times New Roman" w:hAnsi="Arial" w:cs="Arial"/>
          <w:color w:val="FF0000"/>
        </w:rPr>
      </w:pPr>
    </w:p>
    <w:p w14:paraId="2F187D6B" w14:textId="78F1A8A7" w:rsidR="0633E145" w:rsidRPr="0090242E" w:rsidRDefault="0633E145" w:rsidP="7F2EAEBF">
      <w:pPr>
        <w:jc w:val="center"/>
        <w:rPr>
          <w:rFonts w:ascii="Arial" w:hAnsi="Arial" w:cs="Arial"/>
        </w:rPr>
      </w:pPr>
      <w:r w:rsidRPr="0090242E">
        <w:rPr>
          <w:rFonts w:ascii="Arial" w:eastAsia="Times New Roman" w:hAnsi="Arial" w:cs="Arial"/>
        </w:rPr>
        <w:t xml:space="preserve">CAPÍTULO III </w:t>
      </w:r>
    </w:p>
    <w:p w14:paraId="054FE315" w14:textId="006DBDE8" w:rsidR="0633E145" w:rsidRPr="0090242E" w:rsidRDefault="0633E145" w:rsidP="7F2EAEBF">
      <w:pPr>
        <w:jc w:val="center"/>
        <w:rPr>
          <w:rFonts w:ascii="Arial" w:hAnsi="Arial" w:cs="Arial"/>
        </w:rPr>
      </w:pPr>
      <w:r w:rsidRPr="0090242E">
        <w:rPr>
          <w:rFonts w:ascii="Arial" w:eastAsia="Times New Roman" w:hAnsi="Arial" w:cs="Arial"/>
        </w:rPr>
        <w:t>DA INTEGRAÇÃO DO PPA COM AS LEIS DE DIRETRIZES ORÇAMENTÁRIAS E AS LEIS ORÇAMENTÁRIAS ANUAIS</w:t>
      </w:r>
      <w:r w:rsidR="00922247" w:rsidRPr="0090242E">
        <w:rPr>
          <w:rFonts w:ascii="Arial" w:eastAsia="Times New Roman" w:hAnsi="Arial" w:cs="Arial"/>
        </w:rPr>
        <w:t xml:space="preserve"> E DA REVISÃO E ALTERAÇÕES DO PLANO</w:t>
      </w:r>
    </w:p>
    <w:p w14:paraId="0BCBC2FF" w14:textId="7C5B24F4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 xml:space="preserve">Art. </w:t>
      </w:r>
      <w:r w:rsidR="00366E11" w:rsidRPr="0090242E">
        <w:rPr>
          <w:rFonts w:ascii="Arial" w:eastAsia="Times New Roman" w:hAnsi="Arial" w:cs="Arial"/>
        </w:rPr>
        <w:t>10</w:t>
      </w:r>
      <w:r w:rsidRPr="0090242E">
        <w:rPr>
          <w:rFonts w:ascii="Arial" w:eastAsia="Times New Roman" w:hAnsi="Arial" w:cs="Arial"/>
        </w:rPr>
        <w:t>º. Os valores globais previstos para os Programas são referenciais, não se constituindo em limite à programação e à execução das despesas expressas nas leis orçamentárias e nos instrumentos que as modifiquem.</w:t>
      </w:r>
    </w:p>
    <w:p w14:paraId="12586618" w14:textId="411F0F8C" w:rsidR="16B65D26" w:rsidRPr="0090242E" w:rsidRDefault="16B65D26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lastRenderedPageBreak/>
        <w:t xml:space="preserve">Art. </w:t>
      </w:r>
      <w:r w:rsidR="00366E11" w:rsidRPr="0090242E">
        <w:rPr>
          <w:rFonts w:ascii="Arial" w:eastAsia="Times New Roman" w:hAnsi="Arial" w:cs="Arial"/>
        </w:rPr>
        <w:t>11</w:t>
      </w:r>
      <w:r w:rsidRPr="0090242E">
        <w:rPr>
          <w:rFonts w:ascii="Arial" w:eastAsia="Times New Roman" w:hAnsi="Arial" w:cs="Arial"/>
        </w:rPr>
        <w:t>º. A inclusão, exclusão ou alteração das Áreas de Resultado, Programas, Ações e respectivas metas e dotações poderão ocorrer por intermédio das leis orçamentárias ou dos instrumentos que as modifiquem.</w:t>
      </w:r>
    </w:p>
    <w:p w14:paraId="7B3D93A9" w14:textId="24CEF579" w:rsidR="21852B8B" w:rsidRPr="0090242E" w:rsidRDefault="21852B8B" w:rsidP="123F69D8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 xml:space="preserve">Art. </w:t>
      </w:r>
      <w:r w:rsidR="0FDE608D" w:rsidRPr="0090242E">
        <w:rPr>
          <w:rFonts w:ascii="Arial" w:eastAsia="Times New Roman" w:hAnsi="Arial" w:cs="Arial"/>
        </w:rPr>
        <w:t>1</w:t>
      </w:r>
      <w:r w:rsidR="00366E11" w:rsidRPr="0090242E">
        <w:rPr>
          <w:rFonts w:ascii="Arial" w:eastAsia="Times New Roman" w:hAnsi="Arial" w:cs="Arial"/>
        </w:rPr>
        <w:t>2</w:t>
      </w:r>
      <w:r w:rsidRPr="0090242E">
        <w:rPr>
          <w:rFonts w:ascii="Arial" w:eastAsia="Times New Roman" w:hAnsi="Arial" w:cs="Arial"/>
        </w:rPr>
        <w:t>º- As emendas parlamentares aos projetos de lei orçamentária que proponham a inclusão de produtos poderão ser enquadradas pela Secretaria Municipal de Planejamento, Orçamento e Modernização da Gestão – SEPLAG – em ações orçamentárias compatíveis, preservado o conteúdo finalístico aprovado.</w:t>
      </w:r>
    </w:p>
    <w:p w14:paraId="58F67323" w14:textId="5D99FE99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Art. 1</w:t>
      </w:r>
      <w:r w:rsidR="00366E11" w:rsidRPr="0090242E">
        <w:rPr>
          <w:rFonts w:ascii="Arial" w:eastAsia="Times New Roman" w:hAnsi="Arial" w:cs="Arial"/>
        </w:rPr>
        <w:t>3</w:t>
      </w:r>
      <w:r w:rsidRPr="0090242E">
        <w:rPr>
          <w:rFonts w:ascii="Arial" w:eastAsia="Times New Roman" w:hAnsi="Arial" w:cs="Arial"/>
        </w:rPr>
        <w:t>º. Fica o Poder Executivo autorizado, por ato próprio, a promover:</w:t>
      </w:r>
    </w:p>
    <w:p w14:paraId="6A65E942" w14:textId="6E7C3525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 xml:space="preserve">I - Remanejamentos dos Programas, Indicadores, Produtos, suas respectivas metas e Ações, em virtude de alteração na sua estrutura organizacional; </w:t>
      </w:r>
    </w:p>
    <w:p w14:paraId="59F968EE" w14:textId="4D2CD155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 - Alterações em atributos das Áreas de Resultado, Programas, Indicadores, Produtos e Ações com o objetivo de sanear incorreções, desde que não modifiquem sua essência; e</w:t>
      </w:r>
    </w:p>
    <w:p w14:paraId="3249EBAE" w14:textId="35D76DE1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III - Adequar os elementos do Plano Plurianual, através de atualizações anuais, a fim de compatibilizá-los com as alterações ou com outras modificações efetivadas na Lei de Diretrizes Orçamentárias e na Lei Orçamentária Anual, podendo adequar elementos que compõem as Áreas de Resultado, Programas, Indicadores, Produtos e ações orçamentárias.</w:t>
      </w:r>
    </w:p>
    <w:p w14:paraId="61B5BF78" w14:textId="5327E398" w:rsidR="0633E145" w:rsidRPr="0090242E" w:rsidRDefault="0633E145" w:rsidP="7F2EAEBF">
      <w:pPr>
        <w:jc w:val="both"/>
        <w:rPr>
          <w:rFonts w:ascii="Arial" w:eastAsia="Times New Roman" w:hAnsi="Arial" w:cs="Arial"/>
          <w:color w:val="000000" w:themeColor="text1"/>
        </w:rPr>
      </w:pPr>
      <w:r w:rsidRPr="0090242E">
        <w:rPr>
          <w:rFonts w:ascii="Arial" w:eastAsia="Times New Roman" w:hAnsi="Arial" w:cs="Arial"/>
          <w:color w:val="000000" w:themeColor="text1"/>
        </w:rPr>
        <w:t xml:space="preserve">§1º. </w:t>
      </w:r>
      <w:r w:rsidRPr="0090242E">
        <w:rPr>
          <w:rFonts w:ascii="Arial" w:eastAsia="Times New Roman" w:hAnsi="Arial" w:cs="Arial"/>
        </w:rPr>
        <w:t>As modificações previstas no caput deste artigo serão publicadas no Portal da Transparência</w:t>
      </w:r>
    </w:p>
    <w:p w14:paraId="48156A03" w14:textId="57244887" w:rsidR="7F2EAEBF" w:rsidRPr="0090242E" w:rsidRDefault="7F2EAEBF" w:rsidP="7F2EAEBF">
      <w:pPr>
        <w:jc w:val="both"/>
        <w:rPr>
          <w:rFonts w:ascii="Arial" w:eastAsia="Times New Roman" w:hAnsi="Arial" w:cs="Arial"/>
        </w:rPr>
      </w:pPr>
    </w:p>
    <w:p w14:paraId="4ADD1B7E" w14:textId="237024B6" w:rsidR="0633E145" w:rsidRPr="0090242E" w:rsidRDefault="0633E145" w:rsidP="7F2EAEBF">
      <w:pPr>
        <w:jc w:val="center"/>
        <w:rPr>
          <w:rFonts w:ascii="Arial" w:hAnsi="Arial" w:cs="Arial"/>
        </w:rPr>
      </w:pPr>
      <w:r w:rsidRPr="0090242E">
        <w:rPr>
          <w:rFonts w:ascii="Arial" w:eastAsia="Times New Roman" w:hAnsi="Arial" w:cs="Arial"/>
        </w:rPr>
        <w:t xml:space="preserve">CAPÍTULO IV </w:t>
      </w:r>
    </w:p>
    <w:p w14:paraId="6F8823D8" w14:textId="20E0D8F9" w:rsidR="0633E145" w:rsidRPr="0090242E" w:rsidRDefault="0633E145" w:rsidP="7F2EAEBF">
      <w:pPr>
        <w:jc w:val="center"/>
        <w:rPr>
          <w:rFonts w:ascii="Arial" w:hAnsi="Arial" w:cs="Arial"/>
        </w:rPr>
      </w:pPr>
      <w:r w:rsidRPr="0090242E">
        <w:rPr>
          <w:rFonts w:ascii="Arial" w:eastAsia="Times New Roman" w:hAnsi="Arial" w:cs="Arial"/>
        </w:rPr>
        <w:t>DA GESTÃO DO PLANO</w:t>
      </w:r>
    </w:p>
    <w:p w14:paraId="161672DD" w14:textId="3F032789" w:rsidR="7F2EAEBF" w:rsidRPr="0090242E" w:rsidRDefault="7F2EAEBF" w:rsidP="7F2EAEBF">
      <w:pPr>
        <w:jc w:val="center"/>
        <w:rPr>
          <w:rFonts w:ascii="Arial" w:eastAsia="Times New Roman" w:hAnsi="Arial" w:cs="Arial"/>
        </w:rPr>
      </w:pPr>
    </w:p>
    <w:p w14:paraId="3967B148" w14:textId="76935FB9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Art. 1</w:t>
      </w:r>
      <w:r w:rsidR="00366E11" w:rsidRPr="0090242E">
        <w:rPr>
          <w:rFonts w:ascii="Arial" w:eastAsia="Times New Roman" w:hAnsi="Arial" w:cs="Arial"/>
        </w:rPr>
        <w:t>4</w:t>
      </w:r>
      <w:r w:rsidRPr="0090242E">
        <w:rPr>
          <w:rFonts w:ascii="Arial" w:eastAsia="Times New Roman" w:hAnsi="Arial" w:cs="Arial"/>
        </w:rPr>
        <w:t>º. A gestão do PPA 2026-2029 consiste na articulação dos meios necessários à viabilização da consecução de suas metas e entrega de produtos à população, garantindo o acesso à informação e buscando o aperfeiçoamento:</w:t>
      </w:r>
    </w:p>
    <w:p w14:paraId="1A1A277E" w14:textId="186DAC9F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 - Dos mecanismos de implementação e integração das políticas públicas; e</w:t>
      </w:r>
    </w:p>
    <w:p w14:paraId="62E78096" w14:textId="418DE0AB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 - Dos mecanismos de monitoramento e avaliação do PPA</w:t>
      </w:r>
      <w:r w:rsidR="002D00D6" w:rsidRPr="0090242E">
        <w:rPr>
          <w:rFonts w:ascii="Arial" w:eastAsia="Times New Roman" w:hAnsi="Arial" w:cs="Arial"/>
        </w:rPr>
        <w:t>.</w:t>
      </w:r>
    </w:p>
    <w:p w14:paraId="75C767CF" w14:textId="7D048279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Parágrafo Único. Caberá à Secretaria Municipal de Planejamento, Orçamento e Modernização da Gestão - SEPLAG - definir os prazos, as diretrizes e as orientações técnicas complementares para a gestão do PPA 2026-2029</w:t>
      </w:r>
      <w:r w:rsidR="002D00D6" w:rsidRPr="0090242E">
        <w:rPr>
          <w:rFonts w:ascii="Arial" w:eastAsia="Times New Roman" w:hAnsi="Arial" w:cs="Arial"/>
        </w:rPr>
        <w:t>.</w:t>
      </w:r>
    </w:p>
    <w:p w14:paraId="4204F4A7" w14:textId="446BFB52" w:rsidR="7F2EAEBF" w:rsidRPr="0090242E" w:rsidRDefault="7F2EAEBF" w:rsidP="7F2EAEBF">
      <w:pPr>
        <w:jc w:val="both"/>
        <w:rPr>
          <w:rFonts w:ascii="Arial" w:eastAsia="Times New Roman" w:hAnsi="Arial" w:cs="Arial"/>
        </w:rPr>
      </w:pPr>
    </w:p>
    <w:p w14:paraId="5A97EA83" w14:textId="21300F89" w:rsidR="0633E145" w:rsidRPr="0090242E" w:rsidRDefault="0633E145" w:rsidP="7F2EAEBF">
      <w:pPr>
        <w:jc w:val="center"/>
        <w:rPr>
          <w:rFonts w:ascii="Arial" w:hAnsi="Arial" w:cs="Arial"/>
        </w:rPr>
      </w:pPr>
      <w:r w:rsidRPr="0090242E">
        <w:rPr>
          <w:rFonts w:ascii="Arial" w:eastAsia="Times New Roman" w:hAnsi="Arial" w:cs="Arial"/>
        </w:rPr>
        <w:t xml:space="preserve">CAPÍTULO V </w:t>
      </w:r>
    </w:p>
    <w:p w14:paraId="139BC756" w14:textId="3FE42FAA" w:rsidR="0633E145" w:rsidRPr="0090242E" w:rsidRDefault="0633E145" w:rsidP="7F2EAEBF">
      <w:pPr>
        <w:jc w:val="center"/>
        <w:rPr>
          <w:rFonts w:ascii="Arial" w:hAnsi="Arial" w:cs="Arial"/>
        </w:rPr>
      </w:pPr>
      <w:r w:rsidRPr="0090242E">
        <w:rPr>
          <w:rFonts w:ascii="Arial" w:eastAsia="Times New Roman" w:hAnsi="Arial" w:cs="Arial"/>
        </w:rPr>
        <w:lastRenderedPageBreak/>
        <w:t>DO MONITORAMENTO E DA AVALIAÇÃO DO PLANO</w:t>
      </w:r>
    </w:p>
    <w:p w14:paraId="3E91E17D" w14:textId="70F8EC97" w:rsidR="7F2EAEBF" w:rsidRPr="0090242E" w:rsidRDefault="7F2EAEBF" w:rsidP="7F2EAEBF">
      <w:pPr>
        <w:jc w:val="center"/>
        <w:rPr>
          <w:rFonts w:ascii="Arial" w:eastAsia="Times New Roman" w:hAnsi="Arial" w:cs="Arial"/>
        </w:rPr>
      </w:pPr>
    </w:p>
    <w:p w14:paraId="099FACEB" w14:textId="4B33A588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Art. 1</w:t>
      </w:r>
      <w:r w:rsidR="00366E11" w:rsidRPr="0090242E">
        <w:rPr>
          <w:rFonts w:ascii="Arial" w:eastAsia="Times New Roman" w:hAnsi="Arial" w:cs="Arial"/>
        </w:rPr>
        <w:t>5</w:t>
      </w:r>
      <w:r w:rsidRPr="0090242E">
        <w:rPr>
          <w:rFonts w:ascii="Arial" w:eastAsia="Times New Roman" w:hAnsi="Arial" w:cs="Arial"/>
        </w:rPr>
        <w:t>º. O PPA 2026-2029 será acompanhado e monitorado sistematicamente, sob a coordenação da Secretaria Municipal de Planejamento, Orçamento e Modernização da Gestão - SEPLAG, para averiguação de seu desempenho ao longo de sua vigência, considerando:</w:t>
      </w:r>
    </w:p>
    <w:p w14:paraId="4AFB2DF5" w14:textId="2ADAF814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 - A execução orçamentária e financeira</w:t>
      </w:r>
      <w:r w:rsidR="00CF3746" w:rsidRPr="0090242E">
        <w:rPr>
          <w:rFonts w:ascii="Arial" w:eastAsia="Times New Roman" w:hAnsi="Arial" w:cs="Arial"/>
        </w:rPr>
        <w:t>;</w:t>
      </w:r>
    </w:p>
    <w:p w14:paraId="06C9E82F" w14:textId="1D33FF26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 - O atingimento das metas físicas</w:t>
      </w:r>
      <w:r w:rsidR="00CF3746" w:rsidRPr="0090242E">
        <w:rPr>
          <w:rFonts w:ascii="Arial" w:eastAsia="Times New Roman" w:hAnsi="Arial" w:cs="Arial"/>
        </w:rPr>
        <w:t>;</w:t>
      </w:r>
    </w:p>
    <w:p w14:paraId="422AC6DC" w14:textId="11F00BC3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III - O comportamento dos Indicadores de Resultado dos Programas; e</w:t>
      </w:r>
    </w:p>
    <w:p w14:paraId="2BC76D7C" w14:textId="65DBF927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IV - O comportamento dos Indicadores de Impacto das Áreas de Resultado.</w:t>
      </w:r>
    </w:p>
    <w:p w14:paraId="1C4DD756" w14:textId="0EF03863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Parágrafo Único. Caberá à SEPLAG definir os prazos, as diretrizes e as orientações técnicas para o monitoramento dos Programas Finalísticos e das Áreas de Resultado sob responsabilidade do Poder Executivo Municipal.</w:t>
      </w:r>
    </w:p>
    <w:p w14:paraId="26861AB0" w14:textId="2B59A94B" w:rsidR="0633E145" w:rsidRPr="0090242E" w:rsidRDefault="5F1A8FF8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Art. 16º. Secretaria Municipal de Planejamento, Orçamento e Modernização da Gestão - SEPLAG disponibilizará no Portal da Transparência, na internet, a Lei e Anexos do PPA 2026-2029 atualizados em até 60 (sessenta) dias após sua sanção.</w:t>
      </w:r>
    </w:p>
    <w:p w14:paraId="61740BB4" w14:textId="77777777" w:rsidR="00922247" w:rsidRPr="0090242E" w:rsidRDefault="00922247" w:rsidP="00922247">
      <w:pPr>
        <w:jc w:val="center"/>
        <w:rPr>
          <w:rFonts w:ascii="Arial" w:eastAsia="Times New Roman" w:hAnsi="Arial" w:cs="Arial"/>
        </w:rPr>
      </w:pPr>
    </w:p>
    <w:p w14:paraId="2AB5E287" w14:textId="03363A8B" w:rsidR="00922247" w:rsidRPr="0090242E" w:rsidRDefault="00922247" w:rsidP="00922247">
      <w:pPr>
        <w:jc w:val="center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CAPÍTULO VI</w:t>
      </w:r>
      <w:r w:rsidRPr="0090242E">
        <w:rPr>
          <w:rFonts w:ascii="Arial" w:eastAsia="Times New Roman" w:hAnsi="Arial" w:cs="Arial"/>
        </w:rPr>
        <w:br/>
        <w:t>DAS DISPOSIÇÕES GERAIS</w:t>
      </w:r>
    </w:p>
    <w:p w14:paraId="45A46D90" w14:textId="0ADF2A8D" w:rsidR="00922247" w:rsidRPr="0090242E" w:rsidRDefault="00922247" w:rsidP="123F69D8">
      <w:pPr>
        <w:jc w:val="both"/>
        <w:rPr>
          <w:rFonts w:ascii="Arial" w:eastAsia="Times New Roman" w:hAnsi="Arial" w:cs="Arial"/>
        </w:rPr>
      </w:pPr>
      <w:r w:rsidRPr="0090242E">
        <w:rPr>
          <w:rFonts w:ascii="Arial" w:hAnsi="Arial" w:cs="Arial"/>
        </w:rPr>
        <w:br/>
      </w:r>
      <w:r w:rsidRPr="0090242E">
        <w:rPr>
          <w:rFonts w:ascii="Arial" w:hAnsi="Arial" w:cs="Arial"/>
        </w:rPr>
        <w:br/>
      </w:r>
      <w:r w:rsidRPr="0090242E">
        <w:rPr>
          <w:rFonts w:ascii="Arial" w:eastAsia="Times New Roman" w:hAnsi="Arial" w:cs="Arial"/>
        </w:rPr>
        <w:t>Art. 1</w:t>
      </w:r>
      <w:r w:rsidR="70B88CE0" w:rsidRPr="0090242E">
        <w:rPr>
          <w:rFonts w:ascii="Arial" w:eastAsia="Times New Roman" w:hAnsi="Arial" w:cs="Arial"/>
        </w:rPr>
        <w:t>7</w:t>
      </w:r>
      <w:r w:rsidRPr="0090242E">
        <w:rPr>
          <w:rFonts w:ascii="Arial" w:eastAsia="Times New Roman" w:hAnsi="Arial" w:cs="Arial"/>
        </w:rPr>
        <w:t>. O Poder Executivo divulgará o Plano Plurianual p</w:t>
      </w:r>
      <w:r w:rsidR="0DB32F5B" w:rsidRPr="0090242E">
        <w:rPr>
          <w:rFonts w:ascii="Arial" w:eastAsia="Times New Roman" w:hAnsi="Arial" w:cs="Arial"/>
        </w:rPr>
        <w:t>or meio de portal eletrônico da transparência,</w:t>
      </w:r>
      <w:r w:rsidRPr="0090242E">
        <w:rPr>
          <w:rFonts w:ascii="Arial" w:eastAsia="Times New Roman" w:hAnsi="Arial" w:cs="Arial"/>
        </w:rPr>
        <w:t> com atualização anual, contendo:</w:t>
      </w:r>
    </w:p>
    <w:p w14:paraId="22FEE1DA" w14:textId="5ACD0D16" w:rsidR="00922247" w:rsidRPr="0090242E" w:rsidRDefault="00922247" w:rsidP="123F69D8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 xml:space="preserve">I - </w:t>
      </w:r>
      <w:r w:rsidR="00965CF3" w:rsidRPr="0090242E">
        <w:rPr>
          <w:rFonts w:ascii="Arial" w:eastAsia="Times New Roman" w:hAnsi="Arial" w:cs="Arial"/>
        </w:rPr>
        <w:t>T</w:t>
      </w:r>
      <w:r w:rsidRPr="0090242E">
        <w:rPr>
          <w:rFonts w:ascii="Arial" w:eastAsia="Times New Roman" w:hAnsi="Arial" w:cs="Arial"/>
        </w:rPr>
        <w:t>exto atualizado da Lei;</w:t>
      </w:r>
    </w:p>
    <w:p w14:paraId="389A2609" w14:textId="77777777" w:rsidR="00922247" w:rsidRPr="0090242E" w:rsidRDefault="00922247" w:rsidP="123F69D8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 - Anexos I, II, III, IV, V, VI, VII e VIII, com informações referentes ao ano da atualização e aos exercícios subsequentes do Plano Plurianual;</w:t>
      </w:r>
    </w:p>
    <w:p w14:paraId="0C63A229" w14:textId="21B979AD" w:rsidR="00922247" w:rsidRPr="0090242E" w:rsidRDefault="00922247" w:rsidP="123F69D8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III - demonstrativos constantes do art. 5º desta Lei.</w:t>
      </w:r>
    </w:p>
    <w:p w14:paraId="62C98457" w14:textId="77777777" w:rsidR="00922247" w:rsidRPr="0090242E" w:rsidRDefault="00922247" w:rsidP="7F2EAEBF">
      <w:pPr>
        <w:jc w:val="both"/>
        <w:rPr>
          <w:rFonts w:ascii="Arial" w:eastAsia="Times New Roman" w:hAnsi="Arial" w:cs="Arial"/>
        </w:rPr>
      </w:pPr>
    </w:p>
    <w:p w14:paraId="6A0460D6" w14:textId="067F49BB" w:rsidR="0633E145" w:rsidRPr="0090242E" w:rsidRDefault="0633E145" w:rsidP="7F2EAEBF">
      <w:pPr>
        <w:jc w:val="both"/>
        <w:rPr>
          <w:rFonts w:ascii="Arial" w:eastAsia="Times New Roman" w:hAnsi="Arial" w:cs="Arial"/>
        </w:rPr>
      </w:pPr>
      <w:r w:rsidRPr="0090242E">
        <w:rPr>
          <w:rFonts w:ascii="Arial" w:eastAsia="Times New Roman" w:hAnsi="Arial" w:cs="Arial"/>
        </w:rPr>
        <w:t>Art. 1</w:t>
      </w:r>
      <w:r w:rsidR="7D0821C0" w:rsidRPr="0090242E">
        <w:rPr>
          <w:rFonts w:ascii="Arial" w:eastAsia="Times New Roman" w:hAnsi="Arial" w:cs="Arial"/>
        </w:rPr>
        <w:t>8</w:t>
      </w:r>
      <w:r w:rsidRPr="0090242E">
        <w:rPr>
          <w:rFonts w:ascii="Arial" w:eastAsia="Times New Roman" w:hAnsi="Arial" w:cs="Arial"/>
        </w:rPr>
        <w:t>º. Esta Lei entra em vigor na data de sua publicação.</w:t>
      </w:r>
      <w:bookmarkEnd w:id="2"/>
    </w:p>
    <w:sectPr w:rsidR="0633E145" w:rsidRPr="0090242E" w:rsidSect="00965CF3">
      <w:headerReference w:type="default" r:id="rId7"/>
      <w:footerReference w:type="default" r:id="rId8"/>
      <w:pgSz w:w="11906" w:h="16838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9A11C" w14:textId="77777777" w:rsidR="007015EF" w:rsidRDefault="007015EF">
      <w:pPr>
        <w:spacing w:after="0" w:line="240" w:lineRule="auto"/>
      </w:pPr>
      <w:r>
        <w:separator/>
      </w:r>
    </w:p>
  </w:endnote>
  <w:endnote w:type="continuationSeparator" w:id="0">
    <w:p w14:paraId="2E0AD1BA" w14:textId="77777777" w:rsidR="007015EF" w:rsidRDefault="00701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2EAEBF" w14:paraId="06AE2963" w14:textId="77777777" w:rsidTr="7F2EAEBF">
      <w:trPr>
        <w:trHeight w:val="300"/>
      </w:trPr>
      <w:tc>
        <w:tcPr>
          <w:tcW w:w="3005" w:type="dxa"/>
        </w:tcPr>
        <w:p w14:paraId="68FDE2BA" w14:textId="7B796B2A" w:rsidR="7F2EAEBF" w:rsidRDefault="7F2EAEBF" w:rsidP="7F2EAEBF">
          <w:pPr>
            <w:pStyle w:val="Cabealho"/>
            <w:ind w:left="-115"/>
          </w:pPr>
        </w:p>
      </w:tc>
      <w:tc>
        <w:tcPr>
          <w:tcW w:w="3005" w:type="dxa"/>
        </w:tcPr>
        <w:p w14:paraId="468CB389" w14:textId="0906F86E" w:rsidR="7F2EAEBF" w:rsidRDefault="7F2EAEBF" w:rsidP="7F2EAEBF">
          <w:pPr>
            <w:pStyle w:val="Cabealho"/>
            <w:jc w:val="center"/>
          </w:pPr>
        </w:p>
      </w:tc>
      <w:tc>
        <w:tcPr>
          <w:tcW w:w="3005" w:type="dxa"/>
        </w:tcPr>
        <w:p w14:paraId="70586913" w14:textId="32215766" w:rsidR="7F2EAEBF" w:rsidRDefault="7F2EAEBF" w:rsidP="7F2EAEBF">
          <w:pPr>
            <w:pStyle w:val="Cabealho"/>
            <w:ind w:right="-115"/>
            <w:jc w:val="right"/>
          </w:pPr>
        </w:p>
      </w:tc>
    </w:tr>
  </w:tbl>
  <w:p w14:paraId="1C441147" w14:textId="413C8BA1" w:rsidR="7F2EAEBF" w:rsidRDefault="7F2EAEBF" w:rsidP="7F2EAE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8B440" w14:textId="77777777" w:rsidR="007015EF" w:rsidRDefault="007015EF">
      <w:pPr>
        <w:spacing w:after="0" w:line="240" w:lineRule="auto"/>
      </w:pPr>
      <w:r>
        <w:separator/>
      </w:r>
    </w:p>
  </w:footnote>
  <w:footnote w:type="continuationSeparator" w:id="0">
    <w:p w14:paraId="02A02272" w14:textId="77777777" w:rsidR="007015EF" w:rsidRDefault="00701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675D3" w14:textId="10096AE0" w:rsidR="7F2EAEBF" w:rsidRDefault="00FF52B1" w:rsidP="00FF52B1">
    <w:pPr>
      <w:pStyle w:val="Cabealho"/>
      <w:jc w:val="center"/>
    </w:pPr>
    <w:r w:rsidRPr="00C508D5">
      <w:rPr>
        <w:noProof/>
        <w:sz w:val="2"/>
        <w:szCs w:val="2"/>
      </w:rPr>
      <w:drawing>
        <wp:inline distT="0" distB="0" distL="0" distR="0" wp14:anchorId="5455BE75" wp14:editId="78787959">
          <wp:extent cx="2855881" cy="666750"/>
          <wp:effectExtent l="0" t="0" r="1905" b="0"/>
          <wp:docPr id="4493078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30785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94039" cy="675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7B6F46" w14:textId="77777777" w:rsidR="00FF52B1" w:rsidRPr="00FF52B1" w:rsidRDefault="00FF52B1" w:rsidP="00FF52B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C1297A"/>
    <w:multiLevelType w:val="hybridMultilevel"/>
    <w:tmpl w:val="0C520590"/>
    <w:lvl w:ilvl="0" w:tplc="D8DAE136">
      <w:start w:val="1"/>
      <w:numFmt w:val="lowerLetter"/>
      <w:lvlText w:val="%1)"/>
      <w:lvlJc w:val="left"/>
      <w:pPr>
        <w:ind w:left="720" w:hanging="360"/>
      </w:pPr>
    </w:lvl>
    <w:lvl w:ilvl="1" w:tplc="53D8EEC0">
      <w:start w:val="1"/>
      <w:numFmt w:val="lowerLetter"/>
      <w:lvlText w:val="%2."/>
      <w:lvlJc w:val="left"/>
      <w:pPr>
        <w:ind w:left="1440" w:hanging="360"/>
      </w:pPr>
    </w:lvl>
    <w:lvl w:ilvl="2" w:tplc="C9BCBEE4">
      <w:start w:val="1"/>
      <w:numFmt w:val="lowerRoman"/>
      <w:lvlText w:val="%3."/>
      <w:lvlJc w:val="right"/>
      <w:pPr>
        <w:ind w:left="2160" w:hanging="180"/>
      </w:pPr>
    </w:lvl>
    <w:lvl w:ilvl="3" w:tplc="B7641764">
      <w:start w:val="1"/>
      <w:numFmt w:val="decimal"/>
      <w:lvlText w:val="%4."/>
      <w:lvlJc w:val="left"/>
      <w:pPr>
        <w:ind w:left="2880" w:hanging="360"/>
      </w:pPr>
    </w:lvl>
    <w:lvl w:ilvl="4" w:tplc="CCFA297E">
      <w:start w:val="1"/>
      <w:numFmt w:val="lowerLetter"/>
      <w:lvlText w:val="%5."/>
      <w:lvlJc w:val="left"/>
      <w:pPr>
        <w:ind w:left="3600" w:hanging="360"/>
      </w:pPr>
    </w:lvl>
    <w:lvl w:ilvl="5" w:tplc="2890A6F2">
      <w:start w:val="1"/>
      <w:numFmt w:val="lowerRoman"/>
      <w:lvlText w:val="%6."/>
      <w:lvlJc w:val="right"/>
      <w:pPr>
        <w:ind w:left="4320" w:hanging="180"/>
      </w:pPr>
    </w:lvl>
    <w:lvl w:ilvl="6" w:tplc="1A22F9B2">
      <w:start w:val="1"/>
      <w:numFmt w:val="decimal"/>
      <w:lvlText w:val="%7."/>
      <w:lvlJc w:val="left"/>
      <w:pPr>
        <w:ind w:left="5040" w:hanging="360"/>
      </w:pPr>
    </w:lvl>
    <w:lvl w:ilvl="7" w:tplc="B8AE7302">
      <w:start w:val="1"/>
      <w:numFmt w:val="lowerLetter"/>
      <w:lvlText w:val="%8."/>
      <w:lvlJc w:val="left"/>
      <w:pPr>
        <w:ind w:left="5760" w:hanging="360"/>
      </w:pPr>
    </w:lvl>
    <w:lvl w:ilvl="8" w:tplc="B76E7332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891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797592"/>
    <w:rsid w:val="00015510"/>
    <w:rsid w:val="000611A0"/>
    <w:rsid w:val="00063A5E"/>
    <w:rsid w:val="000A79CA"/>
    <w:rsid w:val="000E0FB0"/>
    <w:rsid w:val="00146C59"/>
    <w:rsid w:val="00154D10"/>
    <w:rsid w:val="00172DF4"/>
    <w:rsid w:val="001756B1"/>
    <w:rsid w:val="001B7D7A"/>
    <w:rsid w:val="001E195E"/>
    <w:rsid w:val="00225E6C"/>
    <w:rsid w:val="00263C14"/>
    <w:rsid w:val="002C42F5"/>
    <w:rsid w:val="002C6E53"/>
    <w:rsid w:val="002D00D6"/>
    <w:rsid w:val="002F0E8E"/>
    <w:rsid w:val="00312AB2"/>
    <w:rsid w:val="00315A7B"/>
    <w:rsid w:val="0033348C"/>
    <w:rsid w:val="00341039"/>
    <w:rsid w:val="00352E72"/>
    <w:rsid w:val="00364B27"/>
    <w:rsid w:val="00366E11"/>
    <w:rsid w:val="003736C1"/>
    <w:rsid w:val="003B722E"/>
    <w:rsid w:val="00422462"/>
    <w:rsid w:val="00431FC6"/>
    <w:rsid w:val="00475E6E"/>
    <w:rsid w:val="0048160D"/>
    <w:rsid w:val="00493C8C"/>
    <w:rsid w:val="00496A7C"/>
    <w:rsid w:val="004C19EE"/>
    <w:rsid w:val="004C31C6"/>
    <w:rsid w:val="004C3598"/>
    <w:rsid w:val="004C5137"/>
    <w:rsid w:val="004D2329"/>
    <w:rsid w:val="004D36E7"/>
    <w:rsid w:val="004F2CB6"/>
    <w:rsid w:val="0054480A"/>
    <w:rsid w:val="005743AA"/>
    <w:rsid w:val="00583D3E"/>
    <w:rsid w:val="005863D8"/>
    <w:rsid w:val="005A001A"/>
    <w:rsid w:val="005F20A9"/>
    <w:rsid w:val="00603D38"/>
    <w:rsid w:val="00616068"/>
    <w:rsid w:val="0062014C"/>
    <w:rsid w:val="00627431"/>
    <w:rsid w:val="006361D4"/>
    <w:rsid w:val="00642A27"/>
    <w:rsid w:val="0066447A"/>
    <w:rsid w:val="00665B5D"/>
    <w:rsid w:val="00676F5C"/>
    <w:rsid w:val="006858FF"/>
    <w:rsid w:val="00686207"/>
    <w:rsid w:val="006D1CFB"/>
    <w:rsid w:val="006F7F9D"/>
    <w:rsid w:val="007015EF"/>
    <w:rsid w:val="00704DB1"/>
    <w:rsid w:val="00724071"/>
    <w:rsid w:val="00731343"/>
    <w:rsid w:val="00745D63"/>
    <w:rsid w:val="00746CC9"/>
    <w:rsid w:val="00766B01"/>
    <w:rsid w:val="00784316"/>
    <w:rsid w:val="007B36F3"/>
    <w:rsid w:val="007C6BAC"/>
    <w:rsid w:val="008150AB"/>
    <w:rsid w:val="008174C9"/>
    <w:rsid w:val="00843F90"/>
    <w:rsid w:val="008453EE"/>
    <w:rsid w:val="00854170"/>
    <w:rsid w:val="00864F8C"/>
    <w:rsid w:val="00876CE4"/>
    <w:rsid w:val="00895E4B"/>
    <w:rsid w:val="008A1642"/>
    <w:rsid w:val="008A7ECF"/>
    <w:rsid w:val="008D551D"/>
    <w:rsid w:val="0090242E"/>
    <w:rsid w:val="00913A2B"/>
    <w:rsid w:val="00922247"/>
    <w:rsid w:val="00927FA3"/>
    <w:rsid w:val="00950B41"/>
    <w:rsid w:val="00951D04"/>
    <w:rsid w:val="00954739"/>
    <w:rsid w:val="00965CF3"/>
    <w:rsid w:val="00997B7B"/>
    <w:rsid w:val="00997F47"/>
    <w:rsid w:val="009B45AE"/>
    <w:rsid w:val="009F7062"/>
    <w:rsid w:val="00A1191D"/>
    <w:rsid w:val="00A17C98"/>
    <w:rsid w:val="00A2153C"/>
    <w:rsid w:val="00A5750C"/>
    <w:rsid w:val="00A7106B"/>
    <w:rsid w:val="00A83EA9"/>
    <w:rsid w:val="00A861BC"/>
    <w:rsid w:val="00A926EA"/>
    <w:rsid w:val="00A9661D"/>
    <w:rsid w:val="00AA5799"/>
    <w:rsid w:val="00AB10E3"/>
    <w:rsid w:val="00AC0E31"/>
    <w:rsid w:val="00AC30C1"/>
    <w:rsid w:val="00AD6E27"/>
    <w:rsid w:val="00AE1BA8"/>
    <w:rsid w:val="00AF55E8"/>
    <w:rsid w:val="00B02B2C"/>
    <w:rsid w:val="00B3411D"/>
    <w:rsid w:val="00B410C5"/>
    <w:rsid w:val="00B42CF3"/>
    <w:rsid w:val="00B6483D"/>
    <w:rsid w:val="00B65963"/>
    <w:rsid w:val="00BB4C5A"/>
    <w:rsid w:val="00BF7DC9"/>
    <w:rsid w:val="00C120A5"/>
    <w:rsid w:val="00C231BD"/>
    <w:rsid w:val="00C34C5A"/>
    <w:rsid w:val="00C51F81"/>
    <w:rsid w:val="00C53ECD"/>
    <w:rsid w:val="00C5534E"/>
    <w:rsid w:val="00C6781B"/>
    <w:rsid w:val="00CA12ED"/>
    <w:rsid w:val="00CA2EFB"/>
    <w:rsid w:val="00CA36F8"/>
    <w:rsid w:val="00CA508B"/>
    <w:rsid w:val="00CF3746"/>
    <w:rsid w:val="00D06537"/>
    <w:rsid w:val="00D07A6A"/>
    <w:rsid w:val="00D5525D"/>
    <w:rsid w:val="00D805A7"/>
    <w:rsid w:val="00D96BF9"/>
    <w:rsid w:val="00DB0CE3"/>
    <w:rsid w:val="00DB0F1B"/>
    <w:rsid w:val="00DB1492"/>
    <w:rsid w:val="00DC4336"/>
    <w:rsid w:val="00DC4471"/>
    <w:rsid w:val="00E16FD7"/>
    <w:rsid w:val="00E2784A"/>
    <w:rsid w:val="00E75065"/>
    <w:rsid w:val="00E97814"/>
    <w:rsid w:val="00F05740"/>
    <w:rsid w:val="00F127DD"/>
    <w:rsid w:val="00F21BEA"/>
    <w:rsid w:val="00F25896"/>
    <w:rsid w:val="00F269E9"/>
    <w:rsid w:val="00F77C3C"/>
    <w:rsid w:val="00FA431F"/>
    <w:rsid w:val="00FA7006"/>
    <w:rsid w:val="00FC2C4E"/>
    <w:rsid w:val="00FF1D4A"/>
    <w:rsid w:val="00FF52B1"/>
    <w:rsid w:val="029669B3"/>
    <w:rsid w:val="02A335B0"/>
    <w:rsid w:val="039FC88F"/>
    <w:rsid w:val="03D98BAC"/>
    <w:rsid w:val="03DC28A7"/>
    <w:rsid w:val="0428AF5B"/>
    <w:rsid w:val="049FF12C"/>
    <w:rsid w:val="04E45266"/>
    <w:rsid w:val="05173B31"/>
    <w:rsid w:val="054FE3CA"/>
    <w:rsid w:val="056BEF00"/>
    <w:rsid w:val="05BCD77A"/>
    <w:rsid w:val="05F0E536"/>
    <w:rsid w:val="061CC0A0"/>
    <w:rsid w:val="0621179C"/>
    <w:rsid w:val="0633E145"/>
    <w:rsid w:val="0675B02E"/>
    <w:rsid w:val="06C8916F"/>
    <w:rsid w:val="06F28AB2"/>
    <w:rsid w:val="078D8640"/>
    <w:rsid w:val="07BB2172"/>
    <w:rsid w:val="07FC8BCB"/>
    <w:rsid w:val="081AC5E2"/>
    <w:rsid w:val="0895E6F5"/>
    <w:rsid w:val="097E3203"/>
    <w:rsid w:val="09CA842F"/>
    <w:rsid w:val="0AD28C49"/>
    <w:rsid w:val="0C40FE85"/>
    <w:rsid w:val="0C4B176A"/>
    <w:rsid w:val="0C9434A1"/>
    <w:rsid w:val="0CD516D1"/>
    <w:rsid w:val="0D012A8F"/>
    <w:rsid w:val="0DA48E0C"/>
    <w:rsid w:val="0DB32F5B"/>
    <w:rsid w:val="0DB9FBC7"/>
    <w:rsid w:val="0E7F4671"/>
    <w:rsid w:val="0E9F3995"/>
    <w:rsid w:val="0F4D22C5"/>
    <w:rsid w:val="0F75C541"/>
    <w:rsid w:val="0F7BAE9A"/>
    <w:rsid w:val="0FB5C26E"/>
    <w:rsid w:val="0FDE608D"/>
    <w:rsid w:val="100512A9"/>
    <w:rsid w:val="102FBE91"/>
    <w:rsid w:val="10398CAB"/>
    <w:rsid w:val="105A1774"/>
    <w:rsid w:val="11059DD6"/>
    <w:rsid w:val="111E1347"/>
    <w:rsid w:val="1143D810"/>
    <w:rsid w:val="1156FDF0"/>
    <w:rsid w:val="123F69D8"/>
    <w:rsid w:val="12429874"/>
    <w:rsid w:val="124303BC"/>
    <w:rsid w:val="1248F2C0"/>
    <w:rsid w:val="132A7A7E"/>
    <w:rsid w:val="1351A88B"/>
    <w:rsid w:val="136165CA"/>
    <w:rsid w:val="139BFF4F"/>
    <w:rsid w:val="13DAFC15"/>
    <w:rsid w:val="15B611A2"/>
    <w:rsid w:val="15CA58DF"/>
    <w:rsid w:val="1634FAAF"/>
    <w:rsid w:val="16B65D26"/>
    <w:rsid w:val="16D47F49"/>
    <w:rsid w:val="173E470B"/>
    <w:rsid w:val="18578706"/>
    <w:rsid w:val="1932F7C5"/>
    <w:rsid w:val="19D47B14"/>
    <w:rsid w:val="19DDA76B"/>
    <w:rsid w:val="1A241F79"/>
    <w:rsid w:val="1AD7C5E9"/>
    <w:rsid w:val="1B40B1FE"/>
    <w:rsid w:val="1B797592"/>
    <w:rsid w:val="1CCA802C"/>
    <w:rsid w:val="1CE47A55"/>
    <w:rsid w:val="1D9E7DC7"/>
    <w:rsid w:val="1E321B26"/>
    <w:rsid w:val="1F87E1B9"/>
    <w:rsid w:val="1FCC88F5"/>
    <w:rsid w:val="21852B8B"/>
    <w:rsid w:val="22BD586D"/>
    <w:rsid w:val="23A3FF3C"/>
    <w:rsid w:val="2552FCDB"/>
    <w:rsid w:val="25BA5258"/>
    <w:rsid w:val="25BB2899"/>
    <w:rsid w:val="2660FF4B"/>
    <w:rsid w:val="26F44E8A"/>
    <w:rsid w:val="2717DB28"/>
    <w:rsid w:val="2775CFAB"/>
    <w:rsid w:val="2865998D"/>
    <w:rsid w:val="28EC0D89"/>
    <w:rsid w:val="28F468AF"/>
    <w:rsid w:val="29354DAD"/>
    <w:rsid w:val="293D58FD"/>
    <w:rsid w:val="2951FAFD"/>
    <w:rsid w:val="298C06B4"/>
    <w:rsid w:val="29BB70ED"/>
    <w:rsid w:val="29DE2E4D"/>
    <w:rsid w:val="29EB12D0"/>
    <w:rsid w:val="29F68ECA"/>
    <w:rsid w:val="2A4090D2"/>
    <w:rsid w:val="2B4EA6DD"/>
    <w:rsid w:val="2BDF05DF"/>
    <w:rsid w:val="2C17344D"/>
    <w:rsid w:val="2C35C107"/>
    <w:rsid w:val="2C781AA0"/>
    <w:rsid w:val="2CAA8569"/>
    <w:rsid w:val="2CBEBB0F"/>
    <w:rsid w:val="2CE21C31"/>
    <w:rsid w:val="2CF042D3"/>
    <w:rsid w:val="2D2B9897"/>
    <w:rsid w:val="2D7B7BA6"/>
    <w:rsid w:val="2DD30446"/>
    <w:rsid w:val="2E12ADF8"/>
    <w:rsid w:val="2E782DD7"/>
    <w:rsid w:val="2EA82421"/>
    <w:rsid w:val="303349E9"/>
    <w:rsid w:val="30507D5F"/>
    <w:rsid w:val="306C8007"/>
    <w:rsid w:val="30E09320"/>
    <w:rsid w:val="30FE0924"/>
    <w:rsid w:val="32444A99"/>
    <w:rsid w:val="335DB162"/>
    <w:rsid w:val="339F573E"/>
    <w:rsid w:val="361EBDF4"/>
    <w:rsid w:val="362907C0"/>
    <w:rsid w:val="369900F1"/>
    <w:rsid w:val="3709121D"/>
    <w:rsid w:val="3740CE66"/>
    <w:rsid w:val="3790760A"/>
    <w:rsid w:val="37B1C6B6"/>
    <w:rsid w:val="37F7513D"/>
    <w:rsid w:val="382D14F2"/>
    <w:rsid w:val="38D4BE04"/>
    <w:rsid w:val="39773C7F"/>
    <w:rsid w:val="3995E6EF"/>
    <w:rsid w:val="39E47885"/>
    <w:rsid w:val="3AA3856F"/>
    <w:rsid w:val="3B2F40B0"/>
    <w:rsid w:val="3B35BABA"/>
    <w:rsid w:val="3D4C3B54"/>
    <w:rsid w:val="3ECA18CD"/>
    <w:rsid w:val="3F163F67"/>
    <w:rsid w:val="3F7B6133"/>
    <w:rsid w:val="4010A1C3"/>
    <w:rsid w:val="401E1465"/>
    <w:rsid w:val="406873F2"/>
    <w:rsid w:val="409C34C1"/>
    <w:rsid w:val="40C8B3C9"/>
    <w:rsid w:val="41EBAD00"/>
    <w:rsid w:val="42B31A4D"/>
    <w:rsid w:val="42F4E07F"/>
    <w:rsid w:val="4403CF78"/>
    <w:rsid w:val="452FBBCF"/>
    <w:rsid w:val="457D6A83"/>
    <w:rsid w:val="45C5D544"/>
    <w:rsid w:val="45D3537C"/>
    <w:rsid w:val="46167912"/>
    <w:rsid w:val="46B06452"/>
    <w:rsid w:val="4791366B"/>
    <w:rsid w:val="47A196B4"/>
    <w:rsid w:val="47CD9187"/>
    <w:rsid w:val="48A1B48F"/>
    <w:rsid w:val="48BF6E2E"/>
    <w:rsid w:val="49ECCF7B"/>
    <w:rsid w:val="4A62DC7F"/>
    <w:rsid w:val="4CAD1EF0"/>
    <w:rsid w:val="4DBE8BA6"/>
    <w:rsid w:val="4DD5214D"/>
    <w:rsid w:val="4DF927E4"/>
    <w:rsid w:val="4E2BCD11"/>
    <w:rsid w:val="4F580F00"/>
    <w:rsid w:val="4F7695B2"/>
    <w:rsid w:val="4FB46DF6"/>
    <w:rsid w:val="4FF1FC30"/>
    <w:rsid w:val="500D084F"/>
    <w:rsid w:val="5065C96C"/>
    <w:rsid w:val="5117DDB9"/>
    <w:rsid w:val="519C4066"/>
    <w:rsid w:val="51A29031"/>
    <w:rsid w:val="51B94547"/>
    <w:rsid w:val="51F06EFA"/>
    <w:rsid w:val="52ABE10E"/>
    <w:rsid w:val="5318766E"/>
    <w:rsid w:val="53CE4DCF"/>
    <w:rsid w:val="53FA0992"/>
    <w:rsid w:val="5417ACE6"/>
    <w:rsid w:val="546B2812"/>
    <w:rsid w:val="54C864E7"/>
    <w:rsid w:val="54D46333"/>
    <w:rsid w:val="54FEE835"/>
    <w:rsid w:val="5514C4C3"/>
    <w:rsid w:val="559954CD"/>
    <w:rsid w:val="55DB39D7"/>
    <w:rsid w:val="562145EC"/>
    <w:rsid w:val="565AFA54"/>
    <w:rsid w:val="5681FD58"/>
    <w:rsid w:val="56AE64EB"/>
    <w:rsid w:val="57610AD6"/>
    <w:rsid w:val="5837F9BF"/>
    <w:rsid w:val="58E41D17"/>
    <w:rsid w:val="592988EC"/>
    <w:rsid w:val="598BC185"/>
    <w:rsid w:val="599DBCD4"/>
    <w:rsid w:val="59C6E406"/>
    <w:rsid w:val="59E203E7"/>
    <w:rsid w:val="5A15F7FB"/>
    <w:rsid w:val="5B9B6351"/>
    <w:rsid w:val="5BFD0DAB"/>
    <w:rsid w:val="5CA595F2"/>
    <w:rsid w:val="5D083EC9"/>
    <w:rsid w:val="5D4EAF30"/>
    <w:rsid w:val="5EAB056C"/>
    <w:rsid w:val="5ECAC130"/>
    <w:rsid w:val="5EF5C998"/>
    <w:rsid w:val="5F1A8FF8"/>
    <w:rsid w:val="5FBA8243"/>
    <w:rsid w:val="605A2827"/>
    <w:rsid w:val="6143F366"/>
    <w:rsid w:val="624C8195"/>
    <w:rsid w:val="62B56FFA"/>
    <w:rsid w:val="63493131"/>
    <w:rsid w:val="6398B130"/>
    <w:rsid w:val="63C88A3B"/>
    <w:rsid w:val="63DFBB5B"/>
    <w:rsid w:val="6510427F"/>
    <w:rsid w:val="654B656A"/>
    <w:rsid w:val="657B371A"/>
    <w:rsid w:val="66680920"/>
    <w:rsid w:val="66A96028"/>
    <w:rsid w:val="66CE2125"/>
    <w:rsid w:val="675877FF"/>
    <w:rsid w:val="675D98CB"/>
    <w:rsid w:val="67DC4BF6"/>
    <w:rsid w:val="67F29B5E"/>
    <w:rsid w:val="6808790E"/>
    <w:rsid w:val="68756D2E"/>
    <w:rsid w:val="68EB3217"/>
    <w:rsid w:val="68F8D08B"/>
    <w:rsid w:val="68F9DDBC"/>
    <w:rsid w:val="69F75A14"/>
    <w:rsid w:val="6A139853"/>
    <w:rsid w:val="6A793A1D"/>
    <w:rsid w:val="6B4BAAA2"/>
    <w:rsid w:val="6B626445"/>
    <w:rsid w:val="6C76C7C0"/>
    <w:rsid w:val="6DBA05FF"/>
    <w:rsid w:val="6DC4BF03"/>
    <w:rsid w:val="6F1F9416"/>
    <w:rsid w:val="6F50564F"/>
    <w:rsid w:val="70136FCB"/>
    <w:rsid w:val="7028BA99"/>
    <w:rsid w:val="70B88CE0"/>
    <w:rsid w:val="71334A38"/>
    <w:rsid w:val="71F9AD3A"/>
    <w:rsid w:val="721D9BFF"/>
    <w:rsid w:val="722F9F53"/>
    <w:rsid w:val="724A68A8"/>
    <w:rsid w:val="72A7CE4F"/>
    <w:rsid w:val="7333CCF9"/>
    <w:rsid w:val="7369FB96"/>
    <w:rsid w:val="737E51C1"/>
    <w:rsid w:val="741A0342"/>
    <w:rsid w:val="757903AA"/>
    <w:rsid w:val="757F8ECA"/>
    <w:rsid w:val="76DCEE44"/>
    <w:rsid w:val="770789D3"/>
    <w:rsid w:val="78E26DEC"/>
    <w:rsid w:val="79BD2E7A"/>
    <w:rsid w:val="7A685AEE"/>
    <w:rsid w:val="7BF3DC04"/>
    <w:rsid w:val="7C3167FD"/>
    <w:rsid w:val="7C83E297"/>
    <w:rsid w:val="7CD37A4E"/>
    <w:rsid w:val="7D0821C0"/>
    <w:rsid w:val="7DE5D6BD"/>
    <w:rsid w:val="7E53CD0A"/>
    <w:rsid w:val="7E9DF6B8"/>
    <w:rsid w:val="7EA58E30"/>
    <w:rsid w:val="7EF24281"/>
    <w:rsid w:val="7F2EAEBF"/>
    <w:rsid w:val="7FCF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97592"/>
  <w15:chartTrackingRefBased/>
  <w15:docId w15:val="{937E69D6-5246-4C58-A546-82FAC208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7F2EAEBF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uiPriority w:val="99"/>
    <w:unhideWhenUsed/>
    <w:rsid w:val="7F2EAEBF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7F2EAEBF"/>
    <w:pPr>
      <w:ind w:left="720"/>
      <w:contextualSpacing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o">
    <w:name w:val="Revision"/>
    <w:hidden/>
    <w:uiPriority w:val="99"/>
    <w:semiHidden/>
    <w:rsid w:val="00AC30C1"/>
    <w:pPr>
      <w:spacing w:after="0" w:line="240" w:lineRule="auto"/>
    </w:pPr>
  </w:style>
  <w:style w:type="paragraph" w:styleId="Textodecomentrio">
    <w:name w:val="annotation text"/>
    <w:basedOn w:val="Normal"/>
    <w:link w:val="Textodecomentrio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63C1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63C14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A7ECF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A7ECF"/>
    <w:rPr>
      <w:color w:val="605E5C"/>
      <w:shd w:val="clear" w:color="auto" w:fill="E1DFDD"/>
    </w:rPr>
  </w:style>
  <w:style w:type="paragraph" w:styleId="Legenda">
    <w:name w:val="caption"/>
    <w:basedOn w:val="Normal"/>
    <w:next w:val="Normal"/>
    <w:qFormat/>
    <w:rsid w:val="00FF52B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customStyle="1" w:styleId="Corpo">
    <w:name w:val="Corpo"/>
    <w:rsid w:val="00FF52B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u w:color="000000"/>
      <w:bdr w:val="nil"/>
      <w:lang w:eastAsia="pt-BR"/>
    </w:rPr>
  </w:style>
  <w:style w:type="character" w:customStyle="1" w:styleId="NenhumA">
    <w:name w:val="Nenhum A"/>
    <w:rsid w:val="00FF52B1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2961</Words>
  <Characters>15995</Characters>
  <Application>Microsoft Office Word</Application>
  <DocSecurity>0</DocSecurity>
  <Lines>133</Lines>
  <Paragraphs>37</Paragraphs>
  <ScaleCrop>false</ScaleCrop>
  <Company/>
  <LinksUpToDate>false</LinksUpToDate>
  <CharactersWithSpaces>18919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Giffoni</dc:creator>
  <cp:keywords/>
  <dc:description/>
  <cp:lastModifiedBy>Carlos Leandro Medeiros de Souza</cp:lastModifiedBy>
  <cp:revision>85</cp:revision>
  <cp:lastPrinted>2025-08-29T20:07:00Z</cp:lastPrinted>
  <dcterms:created xsi:type="dcterms:W3CDTF">2025-07-09T04:14:00Z</dcterms:created>
  <dcterms:modified xsi:type="dcterms:W3CDTF">2025-08-29T20:14:00Z</dcterms:modified>
</cp:coreProperties>
</file>