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A8B" w:rsidRDefault="004E0A8B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4E0A8B" w:rsidRDefault="00EF071B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PROJETO DE LEI Nº ______/2025</w:t>
      </w:r>
    </w:p>
    <w:p w:rsidR="004E0A8B" w:rsidRDefault="004E0A8B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402"/>
        <w:jc w:val="both"/>
        <w:rPr>
          <w:color w:val="000000"/>
        </w:rPr>
      </w:pPr>
      <w:r>
        <w:rPr>
          <w:b/>
          <w:color w:val="000000"/>
        </w:rPr>
        <w:t>INSTITUI O PROGRAMA DE PREVENÇÃO E TRATAMENTO DA ENDOMETRIOSE NO MUNICIPIO DE NITERÓI.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A </w:t>
      </w:r>
      <w:r>
        <w:rPr>
          <w:b/>
          <w:color w:val="000000"/>
        </w:rPr>
        <w:t>CÂMARA MUNICIPAL DE NITERÓI</w:t>
      </w:r>
      <w:r>
        <w:rPr>
          <w:color w:val="000000"/>
        </w:rPr>
        <w:t xml:space="preserve"> decreta: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tabs>
          <w:tab w:val="left" w:pos="6263"/>
        </w:tabs>
        <w:spacing w:before="160"/>
        <w:ind w:left="2" w:right="140"/>
        <w:jc w:val="both"/>
        <w:rPr>
          <w:color w:val="000000"/>
        </w:rPr>
      </w:pPr>
      <w:r>
        <w:rPr>
          <w:b/>
          <w:color w:val="000000"/>
        </w:rPr>
        <w:t xml:space="preserve">Art. 1º </w:t>
      </w:r>
      <w:r>
        <w:rPr>
          <w:color w:val="000000"/>
        </w:rPr>
        <w:t>Fica instituído no município de Niterói o Programa de Prevenção e Tratamento da Doença de Endometriose.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61"/>
        <w:ind w:left="2" w:right="144"/>
        <w:jc w:val="both"/>
        <w:rPr>
          <w:color w:val="000000"/>
        </w:rPr>
      </w:pPr>
      <w:r>
        <w:rPr>
          <w:b/>
          <w:color w:val="000000"/>
        </w:rPr>
        <w:t xml:space="preserve">Art. 2º </w:t>
      </w:r>
      <w:r>
        <w:rPr>
          <w:color w:val="000000"/>
        </w:rPr>
        <w:t>O Programa de Prevenção e Tratamento da Doença de Endometriose, através do Sistema Único de Saúde, deverá fazer avaliações médicas periódicas, realização de exames clínicos e laboratoriais, assim como campanhas anuais de orientação, prevenção e tratamento.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59"/>
        <w:ind w:left="2" w:right="139"/>
        <w:jc w:val="both"/>
        <w:rPr>
          <w:color w:val="000000"/>
        </w:rPr>
      </w:pPr>
      <w:r>
        <w:rPr>
          <w:b/>
          <w:color w:val="000000"/>
        </w:rPr>
        <w:t xml:space="preserve">Art. 3º </w:t>
      </w:r>
      <w:r>
        <w:rPr>
          <w:color w:val="000000"/>
        </w:rPr>
        <w:t>O Programa de Prevenção e Tratamento da Doença de Endometriose deverá propor o treinamento e/ou atualização periódica dos profissionais da área de ginecologia e obstetrícia quanto ao Protocolo Clínico e as Diretrizes Terapêuticas (PDCT) da Endomet</w:t>
      </w:r>
      <w:r>
        <w:rPr>
          <w:color w:val="000000"/>
        </w:rPr>
        <w:t>riose e das boas práticas nas relações profissionais de saúde com pacientes de endometriose.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61"/>
        <w:ind w:left="2" w:right="143"/>
        <w:jc w:val="both"/>
        <w:rPr>
          <w:color w:val="000000"/>
        </w:rPr>
      </w:pPr>
      <w:r>
        <w:rPr>
          <w:b/>
          <w:color w:val="000000"/>
        </w:rPr>
        <w:t xml:space="preserve">Art. 4º </w:t>
      </w:r>
      <w:r>
        <w:rPr>
          <w:color w:val="000000"/>
        </w:rPr>
        <w:t>O Poder Executivo poderá estabelecer cooperação técnica com a rede de saúde privada para a realização dos exames e treinamentos necessários.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61"/>
        <w:ind w:left="2" w:right="144"/>
        <w:jc w:val="both"/>
        <w:rPr>
          <w:color w:val="000000"/>
        </w:rPr>
      </w:pPr>
      <w:r>
        <w:rPr>
          <w:b/>
          <w:color w:val="000000"/>
        </w:rPr>
        <w:t xml:space="preserve">Art. 5º </w:t>
      </w:r>
      <w:r>
        <w:rPr>
          <w:color w:val="000000"/>
        </w:rPr>
        <w:t>O Pode</w:t>
      </w:r>
      <w:r>
        <w:rPr>
          <w:color w:val="000000"/>
        </w:rPr>
        <w:t>r Executivo garantirá, visando à melhoria de sua gestão pública, a geração de dados para o monitoramento e elaboração de indicadores que aprimorem as políticas públicas propostas nesta lei.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58"/>
        <w:ind w:left="2" w:right="145"/>
        <w:jc w:val="both"/>
        <w:rPr>
          <w:color w:val="000000"/>
        </w:rPr>
      </w:pPr>
      <w:r>
        <w:rPr>
          <w:b/>
          <w:color w:val="000000"/>
        </w:rPr>
        <w:t>Parágrafo único</w:t>
      </w:r>
      <w:r>
        <w:rPr>
          <w:color w:val="000000"/>
        </w:rPr>
        <w:t>. A política a que se refere o caput deste artigo será desenvolvida pelo Município, através do órgão condutor do Programa na área de saúde, que poderá firmar parcerias com outras entidades e organizações não governamentais.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62"/>
        <w:ind w:left="2" w:right="146"/>
        <w:jc w:val="both"/>
        <w:rPr>
          <w:color w:val="000000"/>
        </w:rPr>
      </w:pPr>
      <w:r>
        <w:rPr>
          <w:b/>
          <w:color w:val="000000"/>
        </w:rPr>
        <w:t xml:space="preserve">Art. 6º </w:t>
      </w:r>
      <w:r>
        <w:rPr>
          <w:color w:val="000000"/>
        </w:rPr>
        <w:t xml:space="preserve">O Programa de Prevenção </w:t>
      </w:r>
      <w:r>
        <w:rPr>
          <w:color w:val="000000"/>
        </w:rPr>
        <w:t>e Treinamento da Doença de Endometriose compreende as seguintes ações, dentre outras:</w:t>
      </w: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0"/>
        </w:tabs>
        <w:spacing w:before="158"/>
        <w:ind w:left="140" w:hanging="138"/>
        <w:jc w:val="both"/>
      </w:pPr>
      <w:r>
        <w:rPr>
          <w:color w:val="000000"/>
        </w:rPr>
        <w:t>- Execução de campanhas de divulgação, tendo como principais temas:</w:t>
      </w: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7"/>
        </w:tabs>
        <w:spacing w:before="161"/>
        <w:ind w:hanging="245"/>
      </w:pPr>
      <w:proofErr w:type="gramStart"/>
      <w:r>
        <w:rPr>
          <w:color w:val="000000"/>
        </w:rPr>
        <w:t>elucidação</w:t>
      </w:r>
      <w:proofErr w:type="gramEnd"/>
      <w:r>
        <w:rPr>
          <w:color w:val="000000"/>
        </w:rPr>
        <w:t xml:space="preserve"> sobre as características da doença e seus sintomas;</w:t>
      </w: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1"/>
        </w:tabs>
        <w:spacing w:before="161"/>
        <w:ind w:left="261" w:hanging="259"/>
      </w:pPr>
      <w:proofErr w:type="gramStart"/>
      <w:r>
        <w:rPr>
          <w:color w:val="000000"/>
        </w:rPr>
        <w:t>precauções</w:t>
      </w:r>
      <w:proofErr w:type="gramEnd"/>
      <w:r>
        <w:rPr>
          <w:color w:val="000000"/>
        </w:rPr>
        <w:t xml:space="preserve"> a serem tomadas pelos pacientes da doença;</w:t>
      </w: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7"/>
        </w:tabs>
        <w:spacing w:before="158"/>
        <w:ind w:hanging="245"/>
      </w:pPr>
      <w:proofErr w:type="gramStart"/>
      <w:r>
        <w:rPr>
          <w:color w:val="000000"/>
        </w:rPr>
        <w:t>orientação</w:t>
      </w:r>
      <w:proofErr w:type="gramEnd"/>
      <w:r>
        <w:rPr>
          <w:color w:val="000000"/>
        </w:rPr>
        <w:t xml:space="preserve"> sobre tratamento médico adequado;</w:t>
      </w:r>
    </w:p>
    <w:p w:rsidR="004E0A8B" w:rsidRDefault="004E0A8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47"/>
        </w:tabs>
        <w:spacing w:before="158"/>
        <w:ind w:left="247"/>
        <w:rPr>
          <w:color w:val="000000"/>
        </w:rPr>
      </w:pP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1"/>
        </w:tabs>
        <w:spacing w:before="161"/>
        <w:ind w:left="261" w:hanging="259"/>
        <w:jc w:val="both"/>
      </w:pPr>
      <w:proofErr w:type="gramStart"/>
      <w:r>
        <w:rPr>
          <w:color w:val="000000"/>
        </w:rPr>
        <w:t>orientação</w:t>
      </w:r>
      <w:proofErr w:type="gramEnd"/>
      <w:r>
        <w:rPr>
          <w:color w:val="000000"/>
        </w:rPr>
        <w:t xml:space="preserve"> e suporte às famílias dos pacientes;</w:t>
      </w: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3"/>
        </w:tabs>
        <w:spacing w:before="161"/>
        <w:ind w:left="2" w:right="144" w:firstLine="0"/>
        <w:jc w:val="both"/>
      </w:pPr>
      <w:proofErr w:type="gramStart"/>
      <w:r>
        <w:rPr>
          <w:color w:val="000000"/>
        </w:rPr>
        <w:t>divulgação</w:t>
      </w:r>
      <w:proofErr w:type="gramEnd"/>
      <w:r>
        <w:rPr>
          <w:color w:val="000000"/>
        </w:rPr>
        <w:t xml:space="preserve"> nas escolas para alunos e professores, garantindo o cuidado com os pacientes em idade escolar e impedindo a prática de </w:t>
      </w:r>
      <w:proofErr w:type="spellStart"/>
      <w:r>
        <w:rPr>
          <w:color w:val="000000"/>
        </w:rPr>
        <w:t>bullying</w:t>
      </w:r>
      <w:proofErr w:type="spellEnd"/>
      <w:r>
        <w:rPr>
          <w:color w:val="000000"/>
        </w:rPr>
        <w:t>;</w:t>
      </w: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07"/>
        </w:tabs>
        <w:spacing w:before="159"/>
        <w:ind w:left="2" w:right="143" w:firstLine="0"/>
        <w:jc w:val="both"/>
      </w:pPr>
      <w:proofErr w:type="gramStart"/>
      <w:r>
        <w:rPr>
          <w:color w:val="000000"/>
        </w:rPr>
        <w:t>divulgação</w:t>
      </w:r>
      <w:proofErr w:type="gramEnd"/>
      <w:r>
        <w:rPr>
          <w:color w:val="000000"/>
        </w:rPr>
        <w:t xml:space="preserve"> em eventos públicos, congressos, seminários, palestras e quaisquer outros eventos médicos organizados pelo governo municipal.</w:t>
      </w:r>
    </w:p>
    <w:p w:rsidR="004E0A8B" w:rsidRDefault="004E0A8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07"/>
        </w:tabs>
        <w:spacing w:before="159"/>
        <w:ind w:left="2" w:right="143"/>
        <w:jc w:val="both"/>
        <w:rPr>
          <w:color w:val="000000"/>
        </w:rPr>
      </w:pP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7"/>
        </w:tabs>
        <w:spacing w:before="62"/>
        <w:ind w:left="2" w:right="142" w:firstLine="0"/>
        <w:jc w:val="both"/>
      </w:pPr>
      <w:r>
        <w:rPr>
          <w:color w:val="000000"/>
        </w:rPr>
        <w:t>– Implantação de sistema de informação, visando à obtenção e consolidação de dados epidemiológicos sobre a população a</w:t>
      </w:r>
      <w:r>
        <w:rPr>
          <w:color w:val="000000"/>
        </w:rPr>
        <w:t>tingida e à contribuição para o desenvolvimento de pesquisa científica sobre a doença.</w:t>
      </w: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03"/>
        </w:tabs>
        <w:spacing w:before="159"/>
        <w:ind w:left="2" w:right="147" w:firstLine="0"/>
        <w:jc w:val="both"/>
      </w:pPr>
      <w:r>
        <w:rPr>
          <w:color w:val="000000"/>
        </w:rPr>
        <w:t>– Instituição de parcerias e convênios entre órgãos públicos e entidades da sociedade civil, a fim de produzir trabalhos conjuntos sobre a doença.</w:t>
      </w: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42"/>
          <w:tab w:val="left" w:pos="6348"/>
        </w:tabs>
        <w:spacing w:before="161"/>
        <w:ind w:left="2" w:right="143" w:firstLine="0"/>
        <w:jc w:val="both"/>
      </w:pPr>
      <w:r>
        <w:rPr>
          <w:color w:val="000000"/>
        </w:rPr>
        <w:t>– Promoção da conscientização e a orientação de sinais de alerta e informações sobre a endometriose, em várias modalidades de difusão de conhecimento à população, em especial, às zonas mais carentes do município de Niterói.</w:t>
      </w: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6"/>
        </w:tabs>
        <w:spacing w:before="161"/>
        <w:ind w:left="2" w:right="145" w:firstLine="0"/>
        <w:jc w:val="both"/>
      </w:pPr>
      <w:r>
        <w:rPr>
          <w:color w:val="000000"/>
        </w:rPr>
        <w:t>– Estímulo de hábitos de vida re</w:t>
      </w:r>
      <w:r>
        <w:rPr>
          <w:color w:val="000000"/>
        </w:rPr>
        <w:t>lacionados à promoção de saúde e cuidados com a doença de endometriose;</w:t>
      </w: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01"/>
          <w:tab w:val="left" w:pos="9129"/>
        </w:tabs>
        <w:spacing w:before="159"/>
        <w:ind w:left="2" w:right="82" w:firstLine="0"/>
        <w:jc w:val="both"/>
      </w:pPr>
      <w:r>
        <w:rPr>
          <w:color w:val="000000"/>
        </w:rPr>
        <w:t xml:space="preserve">– Criação de programas de atendimento no Hospital a ser </w:t>
      </w:r>
      <w:proofErr w:type="gramStart"/>
      <w:r>
        <w:rPr>
          <w:color w:val="000000"/>
        </w:rPr>
        <w:t>designado pelo Executivo para atendimento especializado da patologia, com profissionais da área de Ginecologia e equipe multidisciplinar formado por psicólogo, enfermeiros e demais especialistas</w:t>
      </w:r>
      <w:proofErr w:type="gramEnd"/>
      <w:r>
        <w:rPr>
          <w:color w:val="000000"/>
        </w:rPr>
        <w:t xml:space="preserve"> para </w:t>
      </w:r>
      <w:r>
        <w:rPr>
          <w:color w:val="000000"/>
        </w:rPr>
        <w:t>os cuidados da pessoa com Endometriose.</w:t>
      </w: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82"/>
        </w:tabs>
        <w:spacing w:before="161"/>
        <w:ind w:left="2" w:right="144" w:firstLine="0"/>
        <w:jc w:val="both"/>
      </w:pPr>
      <w:r>
        <w:rPr>
          <w:color w:val="000000"/>
        </w:rPr>
        <w:t>– Realização de companhas, confecção de cartazes, cartilhas, panfletos, e plataforma digital vinculando ao Poder Público Municipal sobre as características da moléstia, prognóstico, sintomas e tratamento.</w:t>
      </w: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78"/>
        </w:tabs>
        <w:spacing w:before="161"/>
        <w:ind w:left="2" w:right="141" w:firstLine="0"/>
        <w:jc w:val="both"/>
      </w:pPr>
      <w:r>
        <w:rPr>
          <w:color w:val="000000"/>
        </w:rPr>
        <w:t>– Implantaç</w:t>
      </w:r>
      <w:r>
        <w:rPr>
          <w:color w:val="000000"/>
        </w:rPr>
        <w:t>ão de um sistema informatizado, através de órgãos competentes, de coleta de dados sobre os pacientes da moléstia integrados com os hospitais públicos, postos de saúde e entidades particulares de saúde, visando a:</w:t>
      </w: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7"/>
        </w:tabs>
        <w:spacing w:before="158"/>
        <w:ind w:hanging="245"/>
      </w:pPr>
      <w:proofErr w:type="gramStart"/>
      <w:r>
        <w:rPr>
          <w:color w:val="000000"/>
        </w:rPr>
        <w:t>detecção</w:t>
      </w:r>
      <w:proofErr w:type="gramEnd"/>
      <w:r>
        <w:rPr>
          <w:color w:val="000000"/>
        </w:rPr>
        <w:t xml:space="preserve"> do índice de incidência da moléstia no município;</w:t>
      </w: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2"/>
          <w:tab w:val="left" w:pos="4502"/>
        </w:tabs>
        <w:spacing w:before="161"/>
        <w:ind w:left="2" w:right="147" w:firstLine="0"/>
      </w:pPr>
      <w:proofErr w:type="gramStart"/>
      <w:r>
        <w:rPr>
          <w:color w:val="000000"/>
        </w:rPr>
        <w:t>obtenção</w:t>
      </w:r>
      <w:proofErr w:type="gramEnd"/>
      <w:r>
        <w:rPr>
          <w:color w:val="000000"/>
        </w:rPr>
        <w:t xml:space="preserve"> de dados dos pacientes, que visem contribuir com os estudos médicos realizados no município de Niterói;</w:t>
      </w: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7"/>
        </w:tabs>
        <w:spacing w:before="161"/>
        <w:ind w:hanging="245"/>
      </w:pPr>
      <w:proofErr w:type="gramStart"/>
      <w:r>
        <w:rPr>
          <w:color w:val="000000"/>
        </w:rPr>
        <w:t>contribuição</w:t>
      </w:r>
      <w:proofErr w:type="gramEnd"/>
      <w:r>
        <w:rPr>
          <w:color w:val="000000"/>
        </w:rPr>
        <w:t xml:space="preserve"> para aprimoramento das pesquisas científicas do setor;</w:t>
      </w:r>
    </w:p>
    <w:p w:rsidR="004E0A8B" w:rsidRDefault="00EF071B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1"/>
        </w:tabs>
        <w:spacing w:before="158"/>
        <w:ind w:left="261" w:hanging="259"/>
      </w:pPr>
      <w:proofErr w:type="gramStart"/>
      <w:r>
        <w:rPr>
          <w:color w:val="000000"/>
        </w:rPr>
        <w:t>tratamento</w:t>
      </w:r>
      <w:proofErr w:type="gramEnd"/>
      <w:r>
        <w:rPr>
          <w:color w:val="000000"/>
        </w:rPr>
        <w:t xml:space="preserve"> médico adequado à pessoa com endometriose.</w:t>
      </w: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13"/>
        </w:tabs>
        <w:spacing w:before="161"/>
        <w:ind w:left="313" w:hanging="311"/>
        <w:jc w:val="both"/>
      </w:pPr>
      <w:r>
        <w:rPr>
          <w:color w:val="000000"/>
        </w:rPr>
        <w:t>– Instituição de programas de prognóstico e tratamento da endometriose.</w:t>
      </w:r>
    </w:p>
    <w:p w:rsidR="004E0A8B" w:rsidRDefault="004E0A8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3"/>
        </w:tabs>
        <w:spacing w:before="161"/>
        <w:ind w:left="313"/>
        <w:jc w:val="both"/>
        <w:rPr>
          <w:color w:val="000000"/>
        </w:rPr>
      </w:pPr>
    </w:p>
    <w:p w:rsidR="004E0A8B" w:rsidRDefault="004E0A8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3"/>
        </w:tabs>
        <w:spacing w:before="161"/>
        <w:ind w:left="313"/>
        <w:jc w:val="both"/>
        <w:rPr>
          <w:color w:val="000000"/>
        </w:rPr>
      </w:pPr>
    </w:p>
    <w:p w:rsidR="004E0A8B" w:rsidRDefault="00EF071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34"/>
        </w:tabs>
        <w:spacing w:before="159"/>
        <w:ind w:left="234" w:hanging="232"/>
        <w:jc w:val="both"/>
      </w:pPr>
      <w:r>
        <w:rPr>
          <w:color w:val="000000"/>
        </w:rPr>
        <w:t>– Criação do Centro de Referência de Tratamento da Doença de Endometriose.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61"/>
        <w:ind w:left="2" w:right="145"/>
        <w:jc w:val="both"/>
        <w:rPr>
          <w:color w:val="000000"/>
        </w:rPr>
      </w:pPr>
      <w:r>
        <w:rPr>
          <w:color w:val="000000"/>
        </w:rPr>
        <w:t>Art. 7º O Poder Executivo regulamentará esta lei no prazo de 90 (noventa) dias, a contar da data de sua publicação.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61"/>
        <w:ind w:left="2" w:right="146"/>
        <w:jc w:val="both"/>
        <w:rPr>
          <w:color w:val="000000"/>
        </w:rPr>
      </w:pPr>
      <w:r>
        <w:rPr>
          <w:color w:val="000000"/>
        </w:rPr>
        <w:t>Art. 8º As despesas decorrentes da execução desta lei correrão por conta das dotações orçamentárias próprias, suplementadas se necessário.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58"/>
        <w:ind w:left="62"/>
        <w:jc w:val="both"/>
        <w:rPr>
          <w:color w:val="000000"/>
        </w:rPr>
      </w:pPr>
      <w:r>
        <w:rPr>
          <w:color w:val="000000"/>
        </w:rPr>
        <w:t>Art. 9º Esta lei entra em vigor na data de sua publicação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before="161"/>
        <w:jc w:val="both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tabs>
          <w:tab w:val="left" w:pos="4659"/>
          <w:tab w:val="left" w:pos="7339"/>
        </w:tabs>
        <w:ind w:left="2"/>
        <w:jc w:val="both"/>
        <w:rPr>
          <w:color w:val="000000"/>
        </w:rPr>
      </w:pPr>
      <w:r>
        <w:rPr>
          <w:color w:val="000000"/>
        </w:rPr>
        <w:t>Câmara Municipal de Niterói, 05 de agosto de 2025.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1962403</wp:posOffset>
                </wp:positionH>
                <wp:positionV relativeFrom="paragraph">
                  <wp:posOffset>229435</wp:posOffset>
                </wp:positionV>
                <wp:extent cx="2286000" cy="1270"/>
                <wp:effectExtent l="0" t="0" r="0" b="0"/>
                <wp:wrapTopAndBottom distT="0" distB="0"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1962403</wp:posOffset>
                </wp:positionH>
                <wp:positionV relativeFrom="paragraph">
                  <wp:posOffset>229435</wp:posOffset>
                </wp:positionV>
                <wp:extent cx="2286000" cy="1270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12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ind w:left="704" w:right="137"/>
        <w:jc w:val="center"/>
        <w:rPr>
          <w:color w:val="000000"/>
        </w:rPr>
      </w:pPr>
      <w:r>
        <w:rPr>
          <w:color w:val="000000"/>
        </w:rPr>
        <w:t>Vereador FAEL</w:t>
      </w: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4E0A8B">
      <w:pPr>
        <w:widowControl w:val="0"/>
        <w:tabs>
          <w:tab w:val="left" w:pos="207"/>
        </w:tabs>
        <w:spacing w:before="159"/>
        <w:ind w:left="2" w:right="143"/>
      </w:pPr>
    </w:p>
    <w:p w:rsidR="004E0A8B" w:rsidRDefault="00EF071B">
      <w:pPr>
        <w:pStyle w:val="Ttulo2"/>
        <w:ind w:right="135"/>
      </w:pPr>
      <w:r>
        <w:lastRenderedPageBreak/>
        <w:t>JUSTIFICAÇÃO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tabs>
          <w:tab w:val="left" w:pos="8787"/>
        </w:tabs>
        <w:ind w:left="2" w:right="139" w:firstLine="707"/>
        <w:jc w:val="both"/>
        <w:rPr>
          <w:color w:val="000000"/>
        </w:rPr>
      </w:pPr>
      <w:r>
        <w:rPr>
          <w:color w:val="000000"/>
        </w:rPr>
        <w:t xml:space="preserve">O presente projeto de lei dispõe sobre a </w:t>
      </w:r>
      <w:proofErr w:type="gramStart"/>
      <w:r>
        <w:rPr>
          <w:color w:val="000000"/>
        </w:rPr>
        <w:t>implementação</w:t>
      </w:r>
      <w:proofErr w:type="gramEnd"/>
      <w:r>
        <w:rPr>
          <w:color w:val="000000"/>
        </w:rPr>
        <w:t xml:space="preserve"> do Programa de Prevenção e Tratamento da Doença de Endometriose no município de Niterói.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before="4"/>
        <w:jc w:val="both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"/>
        <w:ind w:left="2" w:right="133" w:firstLine="707"/>
        <w:jc w:val="both"/>
        <w:rPr>
          <w:color w:val="000000"/>
        </w:rPr>
      </w:pPr>
      <w:r>
        <w:rPr>
          <w:color w:val="000000"/>
        </w:rPr>
        <w:t xml:space="preserve">A endometriose afeta uma significativa porcentagem de mulheres em idade fértil, causando dores intensas, infertilidade e impactando diretamente a qualidade de vida. Estima-se que entre 6% a 10% das mulheres em idade reprodutiva sejam afetadas, o que torna </w:t>
      </w:r>
      <w:r>
        <w:rPr>
          <w:color w:val="000000"/>
        </w:rPr>
        <w:t xml:space="preserve">a endometriose uma condição de saúde pública importante. A </w:t>
      </w:r>
      <w:proofErr w:type="gramStart"/>
      <w:r>
        <w:rPr>
          <w:color w:val="000000"/>
        </w:rPr>
        <w:t>implementação</w:t>
      </w:r>
      <w:proofErr w:type="gramEnd"/>
      <w:r>
        <w:rPr>
          <w:color w:val="000000"/>
        </w:rPr>
        <w:t xml:space="preserve"> de um programa municipal A implementação do referido programa pode resultar em diagnósticos mais rápidos e tratamentos mais eficazes, além de reduzir o estigma em torno da doença.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ind w:left="2" w:right="143" w:firstLine="707"/>
        <w:jc w:val="both"/>
        <w:rPr>
          <w:color w:val="000000"/>
          <w:sz w:val="28"/>
          <w:szCs w:val="28"/>
        </w:rPr>
      </w:pPr>
      <w:r>
        <w:rPr>
          <w:color w:val="000000"/>
        </w:rPr>
        <w:t>Qu</w:t>
      </w:r>
      <w:r>
        <w:rPr>
          <w:color w:val="000000"/>
        </w:rPr>
        <w:t>anto à iniciativa deste parlamentar, não deve prosperar o argumento de inconstitucionalidade desta proposição sob a alegação de que o vereador não pode legislar gerando despesas. Isso porque, no julgado do RE 878911/RJ, o Supremo Tribunal Federal pacificou</w:t>
      </w:r>
      <w:r>
        <w:rPr>
          <w:color w:val="000000"/>
        </w:rPr>
        <w:t xml:space="preserve"> a questão de que o vereador pode legislar gerando despesas</w:t>
      </w:r>
      <w:r>
        <w:rPr>
          <w:color w:val="000000"/>
          <w:sz w:val="28"/>
          <w:szCs w:val="28"/>
        </w:rPr>
        <w:t>!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ind w:left="2" w:right="143" w:firstLine="707"/>
        <w:jc w:val="both"/>
        <w:rPr>
          <w:color w:val="000000"/>
          <w:sz w:val="28"/>
          <w:szCs w:val="28"/>
        </w:rPr>
      </w:pPr>
    </w:p>
    <w:p w:rsidR="004E0A8B" w:rsidRDefault="00EF071B">
      <w:pPr>
        <w:spacing w:before="1"/>
        <w:ind w:left="2" w:right="139" w:firstLine="707"/>
        <w:jc w:val="both"/>
        <w:rPr>
          <w:b/>
          <w:i/>
        </w:rPr>
      </w:pPr>
      <w:r>
        <w:t xml:space="preserve">Na ocasião, o STF decidiu, em sede de Repercussão Geral, ou seja, aplicável a TODOS os demais órgãos do Poder Judiciário brasileiro, que </w:t>
      </w:r>
      <w:r>
        <w:rPr>
          <w:b/>
          <w:i/>
        </w:rPr>
        <w:t xml:space="preserve">“não usurpa competência privativa do Chefe do Poder </w:t>
      </w:r>
      <w:proofErr w:type="gramStart"/>
      <w:r>
        <w:rPr>
          <w:b/>
          <w:i/>
        </w:rPr>
        <w:t>Execu</w:t>
      </w:r>
      <w:r>
        <w:rPr>
          <w:b/>
          <w:i/>
        </w:rPr>
        <w:t>tivo lei</w:t>
      </w:r>
      <w:proofErr w:type="gramEnd"/>
      <w:r>
        <w:rPr>
          <w:b/>
          <w:i/>
        </w:rPr>
        <w:t xml:space="preserve"> que, embora crie despesa para a Administração, não trata da sua estrutura ou da atribuição de seus órgãos nem do regime jurídico de servidores públicos (art. 61, § 1º, II, "a", "c" e "e", da Constituição Federal). ”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before="5"/>
        <w:jc w:val="both"/>
        <w:rPr>
          <w:b/>
          <w:i/>
          <w:color w:val="000000"/>
          <w:sz w:val="28"/>
          <w:szCs w:val="28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ind w:left="2" w:right="140" w:firstLine="707"/>
        <w:jc w:val="both"/>
        <w:rPr>
          <w:color w:val="000000"/>
        </w:rPr>
      </w:pPr>
      <w:r>
        <w:rPr>
          <w:color w:val="000000"/>
        </w:rPr>
        <w:t>Da decisão do STF extrai-se que o vereador tem plenos poderes para legislar gerando despesas para a Administração Municipal desde que não trate da criação de cargos, funções ou empregos públicos da administração direta e autárquica ou aumento de sua remune</w:t>
      </w:r>
      <w:r>
        <w:rPr>
          <w:color w:val="000000"/>
        </w:rPr>
        <w:t>ração bem como sobre o regime jurídico dos servidores públicos e da criação de órgãos da administração.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before="1"/>
        <w:ind w:left="2" w:right="141" w:firstLine="707"/>
        <w:jc w:val="both"/>
        <w:rPr>
          <w:color w:val="000000"/>
        </w:rPr>
      </w:pPr>
      <w:r>
        <w:rPr>
          <w:color w:val="000000"/>
        </w:rPr>
        <w:t>No aspecto formal, o projeto encontra respaldo nos artigos 30, I, da Constituição Federal, segundo o qual compete ao Município legislar sobre assunto d</w:t>
      </w:r>
      <w:r>
        <w:rPr>
          <w:color w:val="000000"/>
        </w:rPr>
        <w:t>e interesse local, não havendo iniciativa reservada para a matéria.</w:t>
      </w:r>
    </w:p>
    <w:p w:rsidR="004E0A8B" w:rsidRDefault="00EF071B">
      <w:pPr>
        <w:spacing w:before="161"/>
        <w:ind w:left="2" w:right="137" w:firstLine="707"/>
        <w:jc w:val="both"/>
      </w:pPr>
      <w:r>
        <w:t xml:space="preserve">Contudo, caso ainda reste alguma dúvida aos nobres parlamentares sobre a ausência de vício de iniciativa, devo informar que proposição aqui apresentada é </w:t>
      </w:r>
      <w:proofErr w:type="gramStart"/>
      <w:r>
        <w:t>idêntica e inspirada na Lei Municipal</w:t>
      </w:r>
      <w:proofErr w:type="gramEnd"/>
      <w:r>
        <w:t xml:space="preserve"> nº 10.487/2022, de Santo André – São Paulo, que institui o Progr</w:t>
      </w:r>
      <w:r>
        <w:t>ama de Prevenção e Tratamento da Endometriose. Essa Lei, inclusive, foi levada ao Supremo Tribunal Federal, no RE nº. 1.495.213, que reconheceu a sua constitucionalidade. Destaco aqui o seguinte trecho da decisão: “A Lei nº 10.487 do Município de Santo And</w:t>
      </w:r>
      <w:r>
        <w:t xml:space="preserve">ré, de 15 de março de 2022, ao instituir o </w:t>
      </w:r>
      <w:r>
        <w:lastRenderedPageBreak/>
        <w:t>Programa de Prevenção e Tratamento da Endometriose no referido Município, está plenamente de acordo com os ditames constitucionais referentes ao direito social à saúde.</w:t>
      </w:r>
      <w:proofErr w:type="gramStart"/>
      <w:r>
        <w:t>”</w:t>
      </w:r>
      <w:proofErr w:type="gramEnd"/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tabs>
          <w:tab w:val="left" w:pos="5379"/>
        </w:tabs>
        <w:spacing w:before="1"/>
        <w:ind w:left="2" w:right="141" w:firstLine="707"/>
        <w:jc w:val="both"/>
        <w:rPr>
          <w:color w:val="000000"/>
        </w:rPr>
      </w:pPr>
      <w:r>
        <w:rPr>
          <w:color w:val="000000"/>
        </w:rPr>
        <w:t>Considerando a legalidade, constitucionali</w:t>
      </w:r>
      <w:r>
        <w:rPr>
          <w:color w:val="000000"/>
        </w:rPr>
        <w:t xml:space="preserve">dade e relevância do presente </w:t>
      </w:r>
      <w:proofErr w:type="gramStart"/>
      <w:r>
        <w:rPr>
          <w:color w:val="000000"/>
        </w:rPr>
        <w:t>projeto</w:t>
      </w:r>
      <w:proofErr w:type="gramEnd"/>
      <w:r>
        <w:rPr>
          <w:color w:val="000000"/>
        </w:rPr>
        <w:t xml:space="preserve"> de lei, resta evidente a necessidade de instituir o Programa de Prevenção e Tratamento da Doença de Endometriose Município de Niterói. </w:t>
      </w:r>
      <w:r>
        <w:rPr>
          <w:color w:val="000000"/>
        </w:rPr>
        <w:tab/>
        <w:t>.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color w:val="000000"/>
          <w:sz w:val="28"/>
          <w:szCs w:val="28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1"/>
        <w:jc w:val="both"/>
        <w:rPr>
          <w:color w:val="000000"/>
        </w:rPr>
      </w:pPr>
      <w:r>
        <w:rPr>
          <w:color w:val="000000"/>
        </w:rPr>
        <w:t xml:space="preserve">Solicito, portanto, </w:t>
      </w:r>
      <w:proofErr w:type="gramStart"/>
      <w:r>
        <w:rPr>
          <w:color w:val="000000"/>
        </w:rPr>
        <w:t>apoio dos parlamentares representantes desta Casa de Leis, para apreciação e aprovação do presente projeto</w:t>
      </w:r>
      <w:proofErr w:type="gramEnd"/>
      <w:r>
        <w:rPr>
          <w:color w:val="000000"/>
        </w:rPr>
        <w:t xml:space="preserve"> de lei.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134"/>
        <w:rPr>
          <w:color w:val="000000"/>
        </w:rPr>
      </w:pP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</w:rPr>
      </w:pPr>
      <w:r>
        <w:rPr>
          <w:color w:val="000000"/>
        </w:rPr>
        <w:t>Câmara Mu</w:t>
      </w:r>
      <w:r w:rsidR="00B06D68">
        <w:rPr>
          <w:color w:val="000000"/>
        </w:rPr>
        <w:t xml:space="preserve">nicipal de Niterói, 05 agosto </w:t>
      </w:r>
      <w:bookmarkStart w:id="0" w:name="_GoBack"/>
      <w:bookmarkEnd w:id="0"/>
      <w:r>
        <w:rPr>
          <w:color w:val="000000"/>
        </w:rPr>
        <w:t>de 2025.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</w:rPr>
      </w:pP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</w:rPr>
      </w:pP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</w:rPr>
      </w:pP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</w:rPr>
      </w:pPr>
      <w:r>
        <w:rPr>
          <w:color w:val="000000"/>
        </w:rPr>
        <w:t>__________________________</w:t>
      </w:r>
    </w:p>
    <w:p w:rsidR="004E0A8B" w:rsidRDefault="00EF07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</w:rPr>
      </w:pPr>
      <w:r>
        <w:rPr>
          <w:color w:val="000000"/>
        </w:rPr>
        <w:t>Rafael Faustino Júnior – FAEL</w:t>
      </w:r>
    </w:p>
    <w:p w:rsidR="004E0A8B" w:rsidRDefault="004E0A8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</w:pPr>
    </w:p>
    <w:sectPr w:rsidR="004E0A8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71B" w:rsidRDefault="00EF071B">
      <w:r>
        <w:separator/>
      </w:r>
    </w:p>
  </w:endnote>
  <w:endnote w:type="continuationSeparator" w:id="0">
    <w:p w:rsidR="00EF071B" w:rsidRDefault="00EF0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A8B" w:rsidRDefault="00EF07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0"/>
        <w:szCs w:val="20"/>
      </w:rPr>
    </w:pPr>
    <w:r>
      <w:rPr>
        <w:rFonts w:ascii="Calibri" w:eastAsia="Calibri" w:hAnsi="Calibri" w:cs="Calibri"/>
        <w:color w:val="000000"/>
      </w:rPr>
      <w:t>Av. Ernani do Amaral Peixoto, 625 – Gabinete 47 - Centro, Niterói - RJ, 24020-075</w:t>
    </w:r>
    <w:r>
      <w:rPr>
        <w:rFonts w:ascii="Calibri" w:eastAsia="Calibri" w:hAnsi="Calibri" w:cs="Calibri"/>
        <w:color w:val="000000"/>
      </w:rPr>
      <w:br/>
    </w:r>
    <w:hyperlink r:id="rId1">
      <w:r>
        <w:rPr>
          <w:rFonts w:ascii="Calibri" w:eastAsia="Calibri" w:hAnsi="Calibri" w:cs="Calibri"/>
          <w:color w:val="000000"/>
          <w:sz w:val="20"/>
          <w:szCs w:val="20"/>
          <w:u w:val="single"/>
        </w:rPr>
        <w:t>contato@vereadorfael.com.br</w:t>
      </w:r>
    </w:hyperlink>
  </w:p>
  <w:p w:rsidR="004E0A8B" w:rsidRDefault="00EF07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>Telefone: 21 98655-4448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71B" w:rsidRDefault="00EF071B">
      <w:r>
        <w:separator/>
      </w:r>
    </w:p>
  </w:footnote>
  <w:footnote w:type="continuationSeparator" w:id="0">
    <w:p w:rsidR="00EF071B" w:rsidRDefault="00EF07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A8B" w:rsidRDefault="00EF071B">
    <w:pPr>
      <w:spacing w:line="360" w:lineRule="auto"/>
      <w:jc w:val="center"/>
    </w:pPr>
    <w:r>
      <w:rPr>
        <w:noProof/>
      </w:rPr>
      <w:drawing>
        <wp:inline distT="0" distB="0" distL="0" distR="0">
          <wp:extent cx="795073" cy="985894"/>
          <wp:effectExtent l="0" t="0" r="0" b="0"/>
          <wp:docPr id="2" name="image2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tipo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073" cy="9858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4E0A8B" w:rsidRDefault="00EF071B">
    <w:pPr>
      <w:spacing w:line="360" w:lineRule="auto"/>
      <w:jc w:val="center"/>
      <w:rPr>
        <w:rFonts w:ascii="Arial" w:eastAsia="Arial" w:hAnsi="Arial" w:cs="Arial"/>
        <w:b/>
        <w:sz w:val="26"/>
        <w:szCs w:val="26"/>
      </w:rPr>
    </w:pPr>
    <w:r>
      <w:rPr>
        <w:rFonts w:ascii="Arial" w:eastAsia="Arial" w:hAnsi="Arial" w:cs="Arial"/>
        <w:b/>
        <w:sz w:val="26"/>
        <w:szCs w:val="26"/>
      </w:rPr>
      <w:t>Câmara Municipal de Niterói</w:t>
    </w:r>
  </w:p>
  <w:p w:rsidR="004E0A8B" w:rsidRDefault="00EF071B">
    <w:pPr>
      <w:spacing w:line="360" w:lineRule="auto"/>
      <w:ind w:left="-284" w:right="-285"/>
      <w:jc w:val="center"/>
      <w:rPr>
        <w:rFonts w:ascii="Arial" w:eastAsia="Arial" w:hAnsi="Arial" w:cs="Arial"/>
        <w:b/>
        <w:sz w:val="26"/>
        <w:szCs w:val="26"/>
      </w:rPr>
    </w:pPr>
    <w:r>
      <w:rPr>
        <w:rFonts w:ascii="Arial" w:eastAsia="Arial" w:hAnsi="Arial" w:cs="Arial"/>
        <w:b/>
        <w:sz w:val="26"/>
        <w:szCs w:val="26"/>
      </w:rPr>
      <w:t>GABINETE DO VEREADOR FAEL – PV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2C25"/>
    <w:multiLevelType w:val="multilevel"/>
    <w:tmpl w:val="66705D90"/>
    <w:lvl w:ilvl="0">
      <w:start w:val="1"/>
      <w:numFmt w:val="upperRoman"/>
      <w:lvlText w:val="%1"/>
      <w:lvlJc w:val="left"/>
      <w:pPr>
        <w:ind w:left="141" w:hanging="14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247" w:hanging="24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1237" w:hanging="246"/>
      </w:pPr>
    </w:lvl>
    <w:lvl w:ilvl="3">
      <w:numFmt w:val="bullet"/>
      <w:lvlText w:val="•"/>
      <w:lvlJc w:val="left"/>
      <w:pPr>
        <w:ind w:left="2234" w:hanging="246"/>
      </w:pPr>
    </w:lvl>
    <w:lvl w:ilvl="4">
      <w:numFmt w:val="bullet"/>
      <w:lvlText w:val="•"/>
      <w:lvlJc w:val="left"/>
      <w:pPr>
        <w:ind w:left="3231" w:hanging="246"/>
      </w:pPr>
    </w:lvl>
    <w:lvl w:ilvl="5">
      <w:numFmt w:val="bullet"/>
      <w:lvlText w:val="•"/>
      <w:lvlJc w:val="left"/>
      <w:pPr>
        <w:ind w:left="4228" w:hanging="246"/>
      </w:pPr>
    </w:lvl>
    <w:lvl w:ilvl="6">
      <w:numFmt w:val="bullet"/>
      <w:lvlText w:val="•"/>
      <w:lvlJc w:val="left"/>
      <w:pPr>
        <w:ind w:left="5225" w:hanging="246"/>
      </w:pPr>
    </w:lvl>
    <w:lvl w:ilvl="7">
      <w:numFmt w:val="bullet"/>
      <w:lvlText w:val="•"/>
      <w:lvlJc w:val="left"/>
      <w:pPr>
        <w:ind w:left="6222" w:hanging="246"/>
      </w:pPr>
    </w:lvl>
    <w:lvl w:ilvl="8">
      <w:numFmt w:val="bullet"/>
      <w:lvlText w:val="•"/>
      <w:lvlJc w:val="left"/>
      <w:pPr>
        <w:ind w:left="7220" w:hanging="24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E0A8B"/>
    <w:rsid w:val="004E0A8B"/>
    <w:rsid w:val="00B06D68"/>
    <w:rsid w:val="00EF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ind w:left="640"/>
      <w:outlineLvl w:val="0"/>
    </w:pPr>
    <w:rPr>
      <w:b/>
      <w:i/>
      <w:sz w:val="32"/>
      <w:szCs w:val="32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b/>
      <w:sz w:val="20"/>
      <w:szCs w:val="20"/>
    </w:rPr>
  </w:style>
  <w:style w:type="paragraph" w:styleId="Ttulo4">
    <w:name w:val="heading 4"/>
    <w:basedOn w:val="Normal"/>
    <w:next w:val="Normal"/>
    <w:pPr>
      <w:keepNext/>
      <w:jc w:val="right"/>
      <w:outlineLvl w:val="3"/>
    </w:pPr>
    <w:rPr>
      <w:rFonts w:ascii="Arial" w:eastAsia="Arial" w:hAnsi="Arial" w:cs="Arial"/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outlineLvl w:val="5"/>
    </w:pPr>
    <w:rPr>
      <w:b/>
      <w:sz w:val="30"/>
      <w:szCs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b/>
      <w:i/>
      <w:sz w:val="32"/>
      <w:szCs w:val="3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6D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ind w:left="640"/>
      <w:outlineLvl w:val="0"/>
    </w:pPr>
    <w:rPr>
      <w:b/>
      <w:i/>
      <w:sz w:val="32"/>
      <w:szCs w:val="32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b/>
      <w:sz w:val="20"/>
      <w:szCs w:val="20"/>
    </w:rPr>
  </w:style>
  <w:style w:type="paragraph" w:styleId="Ttulo4">
    <w:name w:val="heading 4"/>
    <w:basedOn w:val="Normal"/>
    <w:next w:val="Normal"/>
    <w:pPr>
      <w:keepNext/>
      <w:jc w:val="right"/>
      <w:outlineLvl w:val="3"/>
    </w:pPr>
    <w:rPr>
      <w:rFonts w:ascii="Arial" w:eastAsia="Arial" w:hAnsi="Arial" w:cs="Arial"/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outlineLvl w:val="5"/>
    </w:pPr>
    <w:rPr>
      <w:b/>
      <w:sz w:val="30"/>
      <w:szCs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b/>
      <w:i/>
      <w:sz w:val="32"/>
      <w:szCs w:val="3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6D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vereadorfae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1184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Fael</dc:creator>
  <cp:lastModifiedBy>Vereador Fael</cp:lastModifiedBy>
  <cp:revision>2</cp:revision>
  <dcterms:created xsi:type="dcterms:W3CDTF">2025-08-05T15:31:00Z</dcterms:created>
  <dcterms:modified xsi:type="dcterms:W3CDTF">2025-08-05T15:31:00Z</dcterms:modified>
</cp:coreProperties>
</file>