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C9" w:rsidRPr="00FB3490" w:rsidRDefault="001863CB" w:rsidP="007563C9">
      <w:pPr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Projeto de Lei Nº         /2025</w:t>
      </w:r>
    </w:p>
    <w:p w:rsidR="007563C9" w:rsidRPr="00FB3490" w:rsidRDefault="007563C9" w:rsidP="007563C9">
      <w:pPr>
        <w:jc w:val="center"/>
        <w:rPr>
          <w:rFonts w:ascii="Tahoma" w:hAnsi="Tahoma" w:cs="Tahoma"/>
          <w:sz w:val="24"/>
          <w:szCs w:val="26"/>
        </w:rPr>
      </w:pPr>
    </w:p>
    <w:p w:rsidR="007563C9" w:rsidRPr="00393D88" w:rsidRDefault="00393D88" w:rsidP="007563C9">
      <w:pPr>
        <w:ind w:left="4395"/>
        <w:jc w:val="both"/>
        <w:rPr>
          <w:rFonts w:ascii="Tahoma" w:hAnsi="Tahoma" w:cs="Tahoma"/>
          <w:b/>
          <w:sz w:val="24"/>
          <w:szCs w:val="24"/>
        </w:rPr>
      </w:pPr>
      <w:r w:rsidRPr="00393D88">
        <w:rPr>
          <w:rFonts w:ascii="Tahoma" w:hAnsi="Tahoma" w:cs="Tahoma"/>
          <w:b/>
          <w:sz w:val="24"/>
          <w:szCs w:val="24"/>
        </w:rPr>
        <w:t>DISPÕE SOBRE O TOMBAMENTO DEFINITIVO, COMO PATRIMÔNIO HISTÓRICO E CULTURAL DO MUNICÍPIO DE NITERÓI, DOS CENTROS INTEGRADOS DE EDUCAÇÃO PÚBLICA (CIEPS), INCLUINDO AS UNIDADES MUNICIPALIZADAS E OS CIEPS TRANSFORMADOS EM ESPAÇOS NOVA GERAÇÃO (ENG).</w:t>
      </w:r>
    </w:p>
    <w:p w:rsidR="007563C9" w:rsidRPr="00FB3490" w:rsidRDefault="007563C9" w:rsidP="007563C9">
      <w:pPr>
        <w:jc w:val="both"/>
        <w:rPr>
          <w:rFonts w:ascii="Tahoma" w:hAnsi="Tahoma" w:cs="Tahoma"/>
          <w:b/>
          <w:sz w:val="24"/>
          <w:szCs w:val="26"/>
        </w:rPr>
      </w:pPr>
    </w:p>
    <w:p w:rsidR="00393D88" w:rsidRDefault="00393D88" w:rsidP="00393D88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1º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Fica determinado o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tombamento definitivo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, como Patrimônio Histórico e Cultural do Município de Niterói, dos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Centros Integrados de Educação Pública (CIEPS)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, incluindo todas as unidades originalmente concebidas como CIEPS e localizadas no território municipal, bem como aquelas que, após municipalização, mantiveram sua estrutura original e função educacional, e os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CIEPS transformados pela Prefeitura Municipal de Niterói nos Espaços Nova Geração (ENG)</w:t>
      </w:r>
      <w:r w:rsidR="00261CE1">
        <w:rPr>
          <w:rFonts w:ascii="Tahoma" w:eastAsia="Times New Roman" w:hAnsi="Tahoma" w:cs="Tahoma"/>
          <w:sz w:val="24"/>
          <w:szCs w:val="24"/>
          <w:lang w:eastAsia="pt-BR"/>
        </w:rPr>
        <w:t>; a saber:</w:t>
      </w:r>
    </w:p>
    <w:p w:rsidR="00261CE1" w:rsidRDefault="00261CE1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CIEP 049 Professor Anísio Teixeira – Fonseca;</w:t>
      </w:r>
    </w:p>
    <w:p w:rsidR="00261CE1" w:rsidRDefault="00261CE1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CIEP 251 Dona Maria Portugal – </w:t>
      </w:r>
      <w:proofErr w:type="spellStart"/>
      <w:r>
        <w:rPr>
          <w:rFonts w:ascii="Tahoma" w:eastAsia="Times New Roman" w:hAnsi="Tahoma" w:cs="Tahoma"/>
          <w:sz w:val="24"/>
          <w:szCs w:val="24"/>
          <w:lang w:eastAsia="pt-BR"/>
        </w:rPr>
        <w:t>Baldeador</w:t>
      </w:r>
      <w:proofErr w:type="spellEnd"/>
      <w:r>
        <w:rPr>
          <w:rFonts w:ascii="Tahoma" w:eastAsia="Times New Roman" w:hAnsi="Tahoma" w:cs="Tahoma"/>
          <w:sz w:val="24"/>
          <w:szCs w:val="24"/>
          <w:lang w:eastAsia="pt-BR"/>
        </w:rPr>
        <w:t>;</w:t>
      </w:r>
    </w:p>
    <w:p w:rsidR="00261CE1" w:rsidRDefault="00261CE1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CIEP 450 Di Cavalcanti – </w:t>
      </w:r>
      <w:proofErr w:type="spellStart"/>
      <w:r>
        <w:rPr>
          <w:rFonts w:ascii="Tahoma" w:eastAsia="Times New Roman" w:hAnsi="Tahoma" w:cs="Tahoma"/>
          <w:sz w:val="24"/>
          <w:szCs w:val="24"/>
          <w:lang w:eastAsia="pt-BR"/>
        </w:rPr>
        <w:t>Badu</w:t>
      </w:r>
      <w:proofErr w:type="spellEnd"/>
      <w:r>
        <w:rPr>
          <w:rFonts w:ascii="Tahoma" w:eastAsia="Times New Roman" w:hAnsi="Tahoma" w:cs="Tahoma"/>
          <w:sz w:val="24"/>
          <w:szCs w:val="24"/>
          <w:lang w:eastAsia="pt-BR"/>
        </w:rPr>
        <w:t>;</w:t>
      </w:r>
    </w:p>
    <w:p w:rsidR="00261CE1" w:rsidRDefault="00E92496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CIEP 449 </w:t>
      </w:r>
      <w:r w:rsidR="00261CE1">
        <w:rPr>
          <w:rFonts w:ascii="Tahoma" w:eastAsia="Times New Roman" w:hAnsi="Tahoma" w:cs="Tahoma"/>
          <w:sz w:val="24"/>
          <w:szCs w:val="24"/>
          <w:lang w:eastAsia="pt-BR"/>
        </w:rPr>
        <w:t xml:space="preserve">Leonel de Moura Brizola Intercultural Brasil-França - </w:t>
      </w:r>
      <w:proofErr w:type="spellStart"/>
      <w:r w:rsidR="00261CE1">
        <w:rPr>
          <w:rFonts w:ascii="Tahoma" w:eastAsia="Times New Roman" w:hAnsi="Tahoma" w:cs="Tahoma"/>
          <w:sz w:val="24"/>
          <w:szCs w:val="24"/>
          <w:lang w:eastAsia="pt-BR"/>
        </w:rPr>
        <w:t>Charitas</w:t>
      </w:r>
      <w:proofErr w:type="spellEnd"/>
      <w:r w:rsidR="00261CE1">
        <w:rPr>
          <w:rFonts w:ascii="Tahoma" w:eastAsia="Times New Roman" w:hAnsi="Tahoma" w:cs="Tahoma"/>
          <w:sz w:val="24"/>
          <w:szCs w:val="24"/>
          <w:lang w:eastAsia="pt-BR"/>
        </w:rPr>
        <w:t>;</w:t>
      </w:r>
    </w:p>
    <w:p w:rsidR="00261CE1" w:rsidRDefault="00261CE1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CIEP 448 Ruy Frazão Soares - Engenho do Mato;</w:t>
      </w:r>
    </w:p>
    <w:p w:rsidR="00261CE1" w:rsidRDefault="00261CE1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CIEP 307 </w:t>
      </w:r>
      <w:proofErr w:type="spellStart"/>
      <w:r>
        <w:rPr>
          <w:rFonts w:ascii="Tahoma" w:eastAsia="Times New Roman" w:hAnsi="Tahoma" w:cs="Tahoma"/>
          <w:sz w:val="24"/>
          <w:szCs w:val="24"/>
          <w:lang w:eastAsia="pt-BR"/>
        </w:rPr>
        <w:t>Djanira</w:t>
      </w:r>
      <w:proofErr w:type="spellEnd"/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– </w:t>
      </w:r>
      <w:r w:rsidR="00287749">
        <w:rPr>
          <w:rFonts w:ascii="Tahoma" w:eastAsia="Times New Roman" w:hAnsi="Tahoma" w:cs="Tahoma"/>
          <w:sz w:val="24"/>
          <w:szCs w:val="24"/>
          <w:lang w:eastAsia="pt-BR"/>
        </w:rPr>
        <w:t>Várzea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das Moças;</w:t>
      </w:r>
    </w:p>
    <w:p w:rsidR="00261CE1" w:rsidRDefault="00261CE1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CIEP 447 </w:t>
      </w:r>
      <w:proofErr w:type="spellStart"/>
      <w:r>
        <w:rPr>
          <w:rFonts w:ascii="Tahoma" w:eastAsia="Times New Roman" w:hAnsi="Tahoma" w:cs="Tahoma"/>
          <w:sz w:val="24"/>
          <w:szCs w:val="24"/>
          <w:lang w:eastAsia="pt-BR"/>
        </w:rPr>
        <w:t>Antineia</w:t>
      </w:r>
      <w:proofErr w:type="spellEnd"/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Silveira Miranda – Caramujo;</w:t>
      </w:r>
    </w:p>
    <w:p w:rsidR="00261CE1" w:rsidRDefault="00261CE1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CIEP </w:t>
      </w:r>
      <w:r w:rsidR="001631B7">
        <w:rPr>
          <w:rFonts w:ascii="Tahoma" w:eastAsia="Times New Roman" w:hAnsi="Tahoma" w:cs="Tahoma"/>
          <w:sz w:val="24"/>
          <w:szCs w:val="24"/>
          <w:lang w:eastAsia="pt-BR"/>
        </w:rPr>
        <w:t xml:space="preserve">047 </w:t>
      </w:r>
      <w:r>
        <w:rPr>
          <w:rFonts w:ascii="Tahoma" w:eastAsia="Times New Roman" w:hAnsi="Tahoma" w:cs="Tahoma"/>
          <w:sz w:val="24"/>
          <w:szCs w:val="24"/>
          <w:lang w:eastAsia="pt-BR"/>
        </w:rPr>
        <w:t>Roberto Silveira – Barreto (atual Colégio Pedro II);</w:t>
      </w:r>
    </w:p>
    <w:p w:rsidR="00261CE1" w:rsidRDefault="00287749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CIEP </w:t>
      </w:r>
      <w:r w:rsidR="00261CE1">
        <w:rPr>
          <w:rFonts w:ascii="Tahoma" w:eastAsia="Times New Roman" w:hAnsi="Tahoma" w:cs="Tahoma"/>
          <w:sz w:val="24"/>
          <w:szCs w:val="24"/>
          <w:lang w:eastAsia="pt-BR"/>
        </w:rPr>
        <w:t>446 Ester Botelho Orestes – Cantagalo;</w:t>
      </w:r>
    </w:p>
    <w:p w:rsidR="00261CE1" w:rsidRDefault="00287749" w:rsidP="00261CE1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CIEP </w:t>
      </w:r>
      <w:r w:rsidR="00E92496">
        <w:rPr>
          <w:rFonts w:ascii="Tahoma" w:eastAsia="Times New Roman" w:hAnsi="Tahoma" w:cs="Tahoma"/>
          <w:sz w:val="24"/>
          <w:szCs w:val="24"/>
          <w:lang w:eastAsia="pt-BR"/>
        </w:rPr>
        <w:t xml:space="preserve">445 </w:t>
      </w:r>
      <w:proofErr w:type="spellStart"/>
      <w:r w:rsidR="00E92496">
        <w:rPr>
          <w:rFonts w:ascii="Tahoma" w:eastAsia="Times New Roman" w:hAnsi="Tahoma" w:cs="Tahoma"/>
          <w:sz w:val="24"/>
          <w:szCs w:val="24"/>
          <w:lang w:eastAsia="pt-BR"/>
        </w:rPr>
        <w:t>Jacy</w:t>
      </w:r>
      <w:proofErr w:type="spellEnd"/>
      <w:r w:rsidR="00E92496">
        <w:rPr>
          <w:rFonts w:ascii="Tahoma" w:eastAsia="Times New Roman" w:hAnsi="Tahoma" w:cs="Tahoma"/>
          <w:sz w:val="24"/>
          <w:szCs w:val="24"/>
          <w:lang w:eastAsia="pt-BR"/>
        </w:rPr>
        <w:t xml:space="preserve"> Pacheco </w:t>
      </w:r>
      <w:bookmarkStart w:id="0" w:name="_GoBack"/>
      <w:bookmarkEnd w:id="0"/>
      <w:r w:rsidR="00E92496">
        <w:rPr>
          <w:rFonts w:ascii="Tahoma" w:eastAsia="Times New Roman" w:hAnsi="Tahoma" w:cs="Tahoma"/>
          <w:sz w:val="24"/>
          <w:szCs w:val="24"/>
          <w:lang w:eastAsia="pt-BR"/>
        </w:rPr>
        <w:t xml:space="preserve">– Atualmente UMEI </w:t>
      </w:r>
      <w:proofErr w:type="spellStart"/>
      <w:r w:rsidR="00E92496">
        <w:rPr>
          <w:rFonts w:ascii="Tahoma" w:eastAsia="Times New Roman" w:hAnsi="Tahoma" w:cs="Tahoma"/>
          <w:sz w:val="24"/>
          <w:szCs w:val="24"/>
          <w:lang w:eastAsia="pt-BR"/>
        </w:rPr>
        <w:t>Jacy</w:t>
      </w:r>
      <w:proofErr w:type="spellEnd"/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Pacheco;</w:t>
      </w:r>
    </w:p>
    <w:p w:rsidR="00261CE1" w:rsidRPr="001C7BB2" w:rsidRDefault="00287749" w:rsidP="001C7BB2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CIEP 060 Geraldo </w:t>
      </w:r>
      <w:proofErr w:type="spellStart"/>
      <w:r>
        <w:rPr>
          <w:rFonts w:ascii="Tahoma" w:eastAsia="Times New Roman" w:hAnsi="Tahoma" w:cs="Tahoma"/>
          <w:sz w:val="24"/>
          <w:szCs w:val="24"/>
          <w:lang w:eastAsia="pt-BR"/>
        </w:rPr>
        <w:t>Achilles</w:t>
      </w:r>
      <w:proofErr w:type="spellEnd"/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Reis (atual COLUNI UFF).</w:t>
      </w:r>
    </w:p>
    <w:p w:rsidR="00393D88" w:rsidRPr="00393D88" w:rsidRDefault="00393D88" w:rsidP="00393D88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lastRenderedPageBreak/>
        <w:t>Art. 2º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O tombamento de que trata esta Lei abrange a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integralidade das edificações, suas estruturas arquitetônicas, elementos construtivos, espaços internos e externos, e o entorno imediato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que configure a ambiência original de cada unidade, reconhecendo o valor histórico, arquitetônico, urbanístico, social e educacional dos CIEPS e ENGs como marcos da educação pública e da cultura niteroiense, em consonância com a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competência do Município para promover e proteger o patrimônio histórico-cultural e ambiental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>, conforme preceituado pela Lei Orgânica do Município de Niterói.</w:t>
      </w:r>
    </w:p>
    <w:p w:rsidR="00393D88" w:rsidRPr="00393D88" w:rsidRDefault="00393D88" w:rsidP="00393D88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Parágrafo único.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O tombamento não impede a realização de obras de manutenção, restauração ou adequação que visem à preservação da integridade física e funcional dos imóveis, desde que previamente aprovadas pelo órgão municipal de proteção ao patrimônio histórico e cultural, em consonância com as diretrizes de preservação e observando a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função social da propriedade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>, princípio fundamental para o desenvolvimento urbano do Município.</w:t>
      </w:r>
    </w:p>
    <w:p w:rsidR="00393D88" w:rsidRPr="00393D88" w:rsidRDefault="00393D88" w:rsidP="00393D88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3º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As unidades abrangidas por esta Lei serão devidamente inscritas no Livro de Tombo do Município de Niterói, sob a responsabilidade do órgão competente pela preservação do patrimônio histórico e cultural.</w:t>
      </w:r>
    </w:p>
    <w:p w:rsidR="00393D88" w:rsidRPr="00393D88" w:rsidRDefault="00393D88" w:rsidP="00393D88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4º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O Poder Executivo Municipal, através de seus órgãos competentes, deverá adotar as medidas necessárias para a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preservação, conservação e valorização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dos bens tombados por esta Lei, zelando pela sua integridade e assegurando a sua função social e educacional, no estrito cumprimento do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interesse público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e dos princípios da administração pública, como a legalidade, impessoalidade, moralidade, publicidade e eficiência, conforme disposto na Lei Orgânica.</w:t>
      </w:r>
    </w:p>
    <w:p w:rsidR="00393D88" w:rsidRPr="00393D88" w:rsidRDefault="00393D88" w:rsidP="00393D88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5º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Fica o Poder Executivo Municipal autorizado a buscar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parcerias e convênios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com entidades públicas e privadas, nacionais e internacionais, para a captação de recursos e a execução de projetos de preservação, restauração e divulgação do patrimônio tombado por esta Lei, visando ao </w:t>
      </w: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desenvolvimento cultural e à melhoria da qualidade de vida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da população niteroiense.</w:t>
      </w:r>
    </w:p>
    <w:p w:rsidR="00393D88" w:rsidRPr="00393D88" w:rsidRDefault="00393D88" w:rsidP="00393D88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93D8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6º</w:t>
      </w:r>
      <w:r w:rsidRPr="00393D88">
        <w:rPr>
          <w:rFonts w:ascii="Tahoma" w:eastAsia="Times New Roman" w:hAnsi="Tahoma" w:cs="Tahoma"/>
          <w:sz w:val="24"/>
          <w:szCs w:val="24"/>
          <w:lang w:eastAsia="pt-BR"/>
        </w:rPr>
        <w:t xml:space="preserve"> Esta Lei entra em vigor na data de sua publicação.</w:t>
      </w:r>
    </w:p>
    <w:p w:rsidR="007563C9" w:rsidRPr="00FB3490" w:rsidRDefault="007563C9" w:rsidP="007563C9">
      <w:pPr>
        <w:jc w:val="center"/>
        <w:rPr>
          <w:rFonts w:ascii="Tahoma" w:hAnsi="Tahoma" w:cs="Tahoma"/>
          <w:b/>
          <w:sz w:val="24"/>
          <w:szCs w:val="26"/>
        </w:rPr>
      </w:pPr>
    </w:p>
    <w:p w:rsidR="007563C9" w:rsidRPr="00FB3490" w:rsidRDefault="007563C9" w:rsidP="007563C9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</w:p>
    <w:p w:rsidR="003B7570" w:rsidRPr="003B7570" w:rsidRDefault="003B7570" w:rsidP="003B7570">
      <w:pPr>
        <w:pStyle w:val="NormalWeb"/>
        <w:shd w:val="clear" w:color="auto" w:fill="FFFFFF"/>
        <w:spacing w:before="240" w:beforeAutospacing="0"/>
        <w:ind w:firstLine="709"/>
        <w:jc w:val="both"/>
        <w:rPr>
          <w:rFonts w:ascii="Tahoma" w:hAnsi="Tahoma" w:cs="Tahoma"/>
        </w:rPr>
      </w:pPr>
      <w:r w:rsidRPr="003B7570">
        <w:rPr>
          <w:rFonts w:ascii="Tahoma" w:hAnsi="Tahoma" w:cs="Tahoma"/>
        </w:rPr>
        <w:t xml:space="preserve">O presente Projeto de Lei propõe o </w:t>
      </w:r>
      <w:r w:rsidRPr="003B7570">
        <w:rPr>
          <w:rStyle w:val="Forte"/>
          <w:rFonts w:ascii="Tahoma" w:hAnsi="Tahoma" w:cs="Tahoma"/>
        </w:rPr>
        <w:t>tombamento definitivo</w:t>
      </w:r>
      <w:r w:rsidRPr="003B7570">
        <w:rPr>
          <w:rFonts w:ascii="Tahoma" w:hAnsi="Tahoma" w:cs="Tahoma"/>
        </w:rPr>
        <w:t xml:space="preserve"> dos Centros Integrados de Educação Pública (CIEPS) localizados no município de Niterói, incluindo as unidades municipalizadas e os Espaços Nova Geração (ENGs) que resultaram da transformação de CIEPS. Esta medida se justifica pela inestimável relevância desses equipamentos para a história, a arquitetura, o urbanismo e, sobretudo, para a educação e a cultura do município, alinhando-se com a </w:t>
      </w:r>
      <w:r w:rsidRPr="003B7570">
        <w:rPr>
          <w:rStyle w:val="Forte"/>
          <w:rFonts w:ascii="Tahoma" w:hAnsi="Tahoma" w:cs="Tahoma"/>
        </w:rPr>
        <w:t>autonomia e competência do Município de Niterói para legislar sobre assuntos de interesse local</w:t>
      </w:r>
      <w:r w:rsidRPr="003B7570">
        <w:rPr>
          <w:rFonts w:ascii="Tahoma" w:hAnsi="Tahoma" w:cs="Tahoma"/>
        </w:rPr>
        <w:t xml:space="preserve">, conforme estabelecido em sua Lei Orgânica. Adicionalmente, o presente projeto se inspira no </w:t>
      </w:r>
      <w:r w:rsidRPr="003B7570">
        <w:rPr>
          <w:rStyle w:val="Forte"/>
          <w:rFonts w:ascii="Tahoma" w:hAnsi="Tahoma" w:cs="Tahoma"/>
        </w:rPr>
        <w:t xml:space="preserve">Decreto Municipal nº 56187, de </w:t>
      </w:r>
      <w:proofErr w:type="gramStart"/>
      <w:r w:rsidRPr="003B7570">
        <w:rPr>
          <w:rStyle w:val="Forte"/>
          <w:rFonts w:ascii="Tahoma" w:hAnsi="Tahoma" w:cs="Tahoma"/>
        </w:rPr>
        <w:t>6</w:t>
      </w:r>
      <w:proofErr w:type="gramEnd"/>
      <w:r w:rsidRPr="003B7570">
        <w:rPr>
          <w:rStyle w:val="Forte"/>
          <w:rFonts w:ascii="Tahoma" w:hAnsi="Tahoma" w:cs="Tahoma"/>
        </w:rPr>
        <w:t xml:space="preserve"> de junho de 2025</w:t>
      </w:r>
      <w:r w:rsidRPr="003B7570">
        <w:rPr>
          <w:rFonts w:ascii="Tahoma" w:hAnsi="Tahoma" w:cs="Tahoma"/>
        </w:rPr>
        <w:t>, do Município do Rio de Janeiro, que demonstra o reconhecimento da importância desses equipamentos como patrimônio cultural em outras esferas governamentais.</w:t>
      </w:r>
    </w:p>
    <w:p w:rsidR="003B7570" w:rsidRPr="003B7570" w:rsidRDefault="003B7570" w:rsidP="003B7570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Neste ano de 2025, celebramos os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40 anos da criação dos CIEPS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, um marco que ressalta a urgência e a pertinência deste tombamento. Concebidos pelo gênio visionário de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Darcy Ribeiro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 e arquitetados pelo inconfundível talento de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Oscar Niemeyer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, os CIEPS representam um dos projetos mais ambiciosos e inovadores na história da educação pública brasileira. A relevância de Darcy Ribeiro como idealizador e educador, e a genialidade de Niemeyer, que liderou um projeto arquitetônico pautado pelo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modernismo 100% brasileiro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>, com suas curvas, concreto aparente e espaços fluidos, resultaram em edificações que são verdadeiras obras de arte e símbolos de uma proposta educacional transformadora.</w:t>
      </w:r>
    </w:p>
    <w:p w:rsidR="003B7570" w:rsidRPr="003B7570" w:rsidRDefault="003B7570" w:rsidP="003B7570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A concepção arquitetônica dos CIEPS, com amplos espaços, salas de aula integradas, quadras esportivas, bibliotecas e áreas de convivência, buscou promover uma educação integral, oferecendo não apenas ensino formal, mas também atividades culturais, esportivas e de lazer em tempo integral. Essa visão revolucionária de escola, que transcendia o modelo tradicional de ensino, impactou profundamente a vida de milhares de crianças e adolescentes, e o tombamento visa proteger esses espaços como um legado para as futuras gerações, reafirmando o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compromisso do poder público municipal com a qualidade da educação pública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 em Niterói.</w:t>
      </w:r>
    </w:p>
    <w:p w:rsidR="00A37196" w:rsidRDefault="003B7570" w:rsidP="001C7BB2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B7570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 xml:space="preserve">Em Niterói, os CIEPS não apenas se inserem nesse contexto nacional, mas também se tornaram símbolos da educação municipal, mesmo após as transformações que levaram algumas unidades a serem municipalizadas ou adaptadas para o conceito de Espaços Nova Geração (ENG). Independentemente de sua atual denominação ou gestão, a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identidade arquitetônica e o legado educacional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 dos CIEPS permanecem intrínsecos a essas estruturas. O reconhecimento dessas edificações como patrimônio histórico e cultural é um imperativo, refletindo a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responsabilidade do poder público municipal na proteção e valorização de seus bens culturais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>, em benefício da coletividade e da memória l</w:t>
      </w:r>
      <w:r w:rsidR="00A37196">
        <w:rPr>
          <w:rFonts w:ascii="Tahoma" w:eastAsia="Times New Roman" w:hAnsi="Tahoma" w:cs="Tahoma"/>
          <w:sz w:val="24"/>
          <w:szCs w:val="24"/>
          <w:lang w:eastAsia="pt-BR"/>
        </w:rPr>
        <w:t>ocal.</w:t>
      </w:r>
    </w:p>
    <w:p w:rsidR="003B7570" w:rsidRPr="003B7570" w:rsidRDefault="003B7570" w:rsidP="003B7570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O tombamento definitivo garantirá a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preservação física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 dessas edificações, impedindo descaracterizações e assegurando que as futuras gerações possam reconhecer e usufruir da genialidade de seu projeto. Além disso, o tombamento reforça o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valor simbólico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 dos CIEPS/ENGs como patrimônio imaterial, representando a luta por uma educação pública de qualidade, inclusiva e transformadora, contribuindo para o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desenvolvimento cultural e social</w:t>
      </w:r>
      <w:r w:rsidR="00A37196">
        <w:rPr>
          <w:rFonts w:ascii="Tahoma" w:eastAsia="Times New Roman" w:hAnsi="Tahoma" w:cs="Tahoma"/>
          <w:sz w:val="24"/>
          <w:szCs w:val="24"/>
          <w:lang w:eastAsia="pt-BR"/>
        </w:rPr>
        <w:t xml:space="preserve"> do município, </w:t>
      </w:r>
      <w:r w:rsidR="00A37196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promovendo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o pleno desenvolvimento de suas funções sociais e garantir o bem-estar de seus habitantes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, sempre pautado no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interesse público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 xml:space="preserve"> e na </w:t>
      </w:r>
      <w:r w:rsidRPr="003B7570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função social da cidade</w:t>
      </w:r>
      <w:r w:rsidRPr="003B7570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3B7570" w:rsidRPr="003B7570" w:rsidRDefault="003B7570" w:rsidP="003B7570">
      <w:pPr>
        <w:spacing w:before="100" w:beforeAutospacing="1" w:after="100" w:afterAutospacing="1" w:line="24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3B7570">
        <w:rPr>
          <w:rFonts w:ascii="Tahoma" w:eastAsia="Times New Roman" w:hAnsi="Tahoma" w:cs="Tahoma"/>
          <w:sz w:val="24"/>
          <w:szCs w:val="24"/>
          <w:lang w:eastAsia="pt-BR"/>
        </w:rPr>
        <w:t>Por todo o exposto, contamos com o apoio dos nobres pares para a aprovação deste Projeto de Lei, que visa proteger e valorizar um dos mais importantes legados de Niterói: a educação pública e os espaços que a materializaram.</w:t>
      </w:r>
    </w:p>
    <w:p w:rsidR="007D2DA5" w:rsidRPr="00FB3490" w:rsidRDefault="001C7BB2" w:rsidP="007D2DA5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                                                  </w:t>
      </w:r>
      <w:r w:rsidR="007D2DA5">
        <w:rPr>
          <w:rFonts w:ascii="Tahoma" w:hAnsi="Tahoma" w:cs="Tahoma"/>
          <w:sz w:val="24"/>
          <w:szCs w:val="26"/>
        </w:rPr>
        <w:t>Sala das Sessões</w:t>
      </w:r>
      <w:r w:rsidR="007D2DA5" w:rsidRPr="00FB3490">
        <w:rPr>
          <w:rFonts w:ascii="Tahoma" w:hAnsi="Tahoma" w:cs="Tahoma"/>
          <w:sz w:val="24"/>
          <w:szCs w:val="26"/>
        </w:rPr>
        <w:t xml:space="preserve">, </w:t>
      </w:r>
      <w:r w:rsidR="00A37196">
        <w:rPr>
          <w:rFonts w:ascii="Tahoma" w:hAnsi="Tahoma" w:cs="Tahoma"/>
          <w:sz w:val="24"/>
          <w:szCs w:val="26"/>
        </w:rPr>
        <w:t>09 de junho de 2025</w:t>
      </w:r>
      <w:r w:rsidR="007D2DA5">
        <w:rPr>
          <w:rFonts w:ascii="Tahoma" w:hAnsi="Tahoma" w:cs="Tahoma"/>
          <w:sz w:val="24"/>
          <w:szCs w:val="26"/>
        </w:rPr>
        <w:t>.</w:t>
      </w:r>
    </w:p>
    <w:p w:rsidR="007D2DA5" w:rsidRDefault="007D2DA5" w:rsidP="007D2DA5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A37196" w:rsidRDefault="00A37196" w:rsidP="007D2DA5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1C7BB2" w:rsidRPr="00FB3490" w:rsidRDefault="001C7BB2" w:rsidP="007D2DA5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7D2DA5" w:rsidRDefault="007D2DA5" w:rsidP="007D2DA5">
      <w:pPr>
        <w:ind w:firstLine="525"/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Jhonatan Anjos</w:t>
      </w:r>
    </w:p>
    <w:p w:rsidR="00A37196" w:rsidRPr="00A37196" w:rsidRDefault="00A37196" w:rsidP="007D2DA5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VEREADOR-PDT</w:t>
      </w:r>
    </w:p>
    <w:sectPr w:rsidR="00A37196" w:rsidRPr="00A37196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D94" w:rsidRDefault="00504D94" w:rsidP="000E0409">
      <w:pPr>
        <w:spacing w:after="0" w:line="240" w:lineRule="auto"/>
      </w:pPr>
      <w:r>
        <w:separator/>
      </w:r>
    </w:p>
  </w:endnote>
  <w:endnote w:type="continuationSeparator" w:id="0">
    <w:p w:rsidR="00504D94" w:rsidRDefault="00504D94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37196" w:rsidP="00AB6BDF">
    <w:pPr>
      <w:spacing w:after="0" w:line="240" w:lineRule="auto"/>
      <w:ind w:left="113" w:right="113" w:firstLine="28"/>
      <w:jc w:val="center"/>
      <w:rPr>
        <w:rFonts w:cs="Arial"/>
      </w:rPr>
    </w:pPr>
    <w:r>
      <w:rPr>
        <w:rFonts w:cs="Arial"/>
      </w:rPr>
      <w:t>Gabinete 11</w:t>
    </w:r>
    <w:r w:rsidR="00AB6BDF">
      <w:rPr>
        <w:rFonts w:cs="Arial"/>
      </w:rPr>
      <w:t xml:space="preserve"> – </w:t>
    </w:r>
    <w:r>
      <w:rPr>
        <w:rFonts w:cs="Arial"/>
      </w:rPr>
      <w:t>Telefone: (21) 3716-8600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D94" w:rsidRDefault="00504D94" w:rsidP="000E0409">
      <w:pPr>
        <w:spacing w:after="0" w:line="240" w:lineRule="auto"/>
      </w:pPr>
      <w:r>
        <w:separator/>
      </w:r>
    </w:p>
  </w:footnote>
  <w:footnote w:type="continuationSeparator" w:id="0">
    <w:p w:rsidR="00504D94" w:rsidRDefault="00504D94" w:rsidP="000E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55031"/>
    <w:multiLevelType w:val="hybridMultilevel"/>
    <w:tmpl w:val="13C4B03A"/>
    <w:lvl w:ilvl="0" w:tplc="DB889F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27B36"/>
    <w:rsid w:val="000324CC"/>
    <w:rsid w:val="00036277"/>
    <w:rsid w:val="00055E8B"/>
    <w:rsid w:val="000863A4"/>
    <w:rsid w:val="000E0409"/>
    <w:rsid w:val="000E5188"/>
    <w:rsid w:val="001126BC"/>
    <w:rsid w:val="00125FB9"/>
    <w:rsid w:val="00147BD2"/>
    <w:rsid w:val="00161565"/>
    <w:rsid w:val="001631B7"/>
    <w:rsid w:val="00164615"/>
    <w:rsid w:val="001863CB"/>
    <w:rsid w:val="001C19BA"/>
    <w:rsid w:val="001C4A4A"/>
    <w:rsid w:val="001C7BB2"/>
    <w:rsid w:val="001D0D9F"/>
    <w:rsid w:val="001F4C21"/>
    <w:rsid w:val="00202BB1"/>
    <w:rsid w:val="00221C3E"/>
    <w:rsid w:val="0022356F"/>
    <w:rsid w:val="002267CE"/>
    <w:rsid w:val="002472FA"/>
    <w:rsid w:val="00261CE1"/>
    <w:rsid w:val="00265E3C"/>
    <w:rsid w:val="002821F3"/>
    <w:rsid w:val="00287749"/>
    <w:rsid w:val="002A7846"/>
    <w:rsid w:val="002D622F"/>
    <w:rsid w:val="002F75EF"/>
    <w:rsid w:val="00311167"/>
    <w:rsid w:val="00312FB6"/>
    <w:rsid w:val="00334B15"/>
    <w:rsid w:val="00336119"/>
    <w:rsid w:val="0034570F"/>
    <w:rsid w:val="003620E5"/>
    <w:rsid w:val="003731FA"/>
    <w:rsid w:val="00384C73"/>
    <w:rsid w:val="00393D4A"/>
    <w:rsid w:val="00393D88"/>
    <w:rsid w:val="003B072D"/>
    <w:rsid w:val="003B6B34"/>
    <w:rsid w:val="003B7570"/>
    <w:rsid w:val="003C1860"/>
    <w:rsid w:val="003E4EC9"/>
    <w:rsid w:val="00403D29"/>
    <w:rsid w:val="004247E5"/>
    <w:rsid w:val="00462F2E"/>
    <w:rsid w:val="0048159F"/>
    <w:rsid w:val="00497A35"/>
    <w:rsid w:val="004A2826"/>
    <w:rsid w:val="004B62C6"/>
    <w:rsid w:val="004D7A6A"/>
    <w:rsid w:val="00504D94"/>
    <w:rsid w:val="00536255"/>
    <w:rsid w:val="0055425B"/>
    <w:rsid w:val="00564E2C"/>
    <w:rsid w:val="00571B20"/>
    <w:rsid w:val="005736AF"/>
    <w:rsid w:val="00583262"/>
    <w:rsid w:val="006323D7"/>
    <w:rsid w:val="00645F3D"/>
    <w:rsid w:val="00667BAF"/>
    <w:rsid w:val="00681FC3"/>
    <w:rsid w:val="00693081"/>
    <w:rsid w:val="006B52E6"/>
    <w:rsid w:val="007105E0"/>
    <w:rsid w:val="007267B5"/>
    <w:rsid w:val="007432D7"/>
    <w:rsid w:val="007563C9"/>
    <w:rsid w:val="00791CF2"/>
    <w:rsid w:val="007B2D6A"/>
    <w:rsid w:val="007D2DA5"/>
    <w:rsid w:val="007E6B90"/>
    <w:rsid w:val="007F28BA"/>
    <w:rsid w:val="0080031C"/>
    <w:rsid w:val="00853EBA"/>
    <w:rsid w:val="00876589"/>
    <w:rsid w:val="00894519"/>
    <w:rsid w:val="008C1286"/>
    <w:rsid w:val="00981819"/>
    <w:rsid w:val="0098656F"/>
    <w:rsid w:val="00987BEE"/>
    <w:rsid w:val="0099121B"/>
    <w:rsid w:val="009A1F2D"/>
    <w:rsid w:val="009E3634"/>
    <w:rsid w:val="009E57F9"/>
    <w:rsid w:val="00A37196"/>
    <w:rsid w:val="00A4735E"/>
    <w:rsid w:val="00A7740C"/>
    <w:rsid w:val="00A92331"/>
    <w:rsid w:val="00AB1532"/>
    <w:rsid w:val="00AB6BDF"/>
    <w:rsid w:val="00AE2BE9"/>
    <w:rsid w:val="00B0113F"/>
    <w:rsid w:val="00B05B06"/>
    <w:rsid w:val="00B25341"/>
    <w:rsid w:val="00B32100"/>
    <w:rsid w:val="00B55D42"/>
    <w:rsid w:val="00B80A8B"/>
    <w:rsid w:val="00BC6C1D"/>
    <w:rsid w:val="00C029B8"/>
    <w:rsid w:val="00C33B0F"/>
    <w:rsid w:val="00C37031"/>
    <w:rsid w:val="00C632C1"/>
    <w:rsid w:val="00C81F52"/>
    <w:rsid w:val="00C8308C"/>
    <w:rsid w:val="00C87E99"/>
    <w:rsid w:val="00CA1DDB"/>
    <w:rsid w:val="00CA22AC"/>
    <w:rsid w:val="00CA29AF"/>
    <w:rsid w:val="00CB30D6"/>
    <w:rsid w:val="00CB32B8"/>
    <w:rsid w:val="00CE4E30"/>
    <w:rsid w:val="00CE7DD9"/>
    <w:rsid w:val="00D57CFA"/>
    <w:rsid w:val="00D65DB5"/>
    <w:rsid w:val="00D858D1"/>
    <w:rsid w:val="00D9799C"/>
    <w:rsid w:val="00DA2AFD"/>
    <w:rsid w:val="00DC22F0"/>
    <w:rsid w:val="00DD74FA"/>
    <w:rsid w:val="00E012E0"/>
    <w:rsid w:val="00E1119B"/>
    <w:rsid w:val="00E27A1A"/>
    <w:rsid w:val="00E3159F"/>
    <w:rsid w:val="00E71BD2"/>
    <w:rsid w:val="00E736D7"/>
    <w:rsid w:val="00E906FE"/>
    <w:rsid w:val="00E92496"/>
    <w:rsid w:val="00EC00B3"/>
    <w:rsid w:val="00ED2B43"/>
    <w:rsid w:val="00F25EED"/>
    <w:rsid w:val="00F60F61"/>
    <w:rsid w:val="00F9563A"/>
    <w:rsid w:val="00FB3490"/>
    <w:rsid w:val="00FC03B9"/>
    <w:rsid w:val="00FD24C4"/>
    <w:rsid w:val="00FE5E87"/>
    <w:rsid w:val="00FE65DC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93D88"/>
    <w:rPr>
      <w:b/>
      <w:bCs/>
    </w:rPr>
  </w:style>
  <w:style w:type="paragraph" w:styleId="PargrafodaLista">
    <w:name w:val="List Paragraph"/>
    <w:basedOn w:val="Normal"/>
    <w:uiPriority w:val="34"/>
    <w:qFormat/>
    <w:rsid w:val="00261C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93D88"/>
    <w:rPr>
      <w:b/>
      <w:bCs/>
    </w:rPr>
  </w:style>
  <w:style w:type="paragraph" w:styleId="PargrafodaLista">
    <w:name w:val="List Paragraph"/>
    <w:basedOn w:val="Normal"/>
    <w:uiPriority w:val="34"/>
    <w:qFormat/>
    <w:rsid w:val="00261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EECD6-F03C-4CC1-B12C-B9FE8D06F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1126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7</cp:revision>
  <cp:lastPrinted>2025-06-11T15:03:00Z</cp:lastPrinted>
  <dcterms:created xsi:type="dcterms:W3CDTF">2025-06-09T19:25:00Z</dcterms:created>
  <dcterms:modified xsi:type="dcterms:W3CDTF">2025-06-11T15:06:00Z</dcterms:modified>
</cp:coreProperties>
</file>