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4C5BF" w14:textId="77777777" w:rsidR="00E85102" w:rsidRDefault="00E85102">
      <w:pPr>
        <w:ind w:left="4248"/>
        <w:jc w:val="both"/>
        <w:rPr>
          <w:b/>
          <w:sz w:val="24"/>
          <w:szCs w:val="24"/>
        </w:rPr>
      </w:pPr>
    </w:p>
    <w:p w14:paraId="0B52EC2F" w14:textId="78A44018" w:rsidR="00E85102" w:rsidRPr="005F1D2F" w:rsidRDefault="00130AF9">
      <w:pPr>
        <w:spacing w:before="280" w:line="240" w:lineRule="auto"/>
        <w:jc w:val="center"/>
        <w:rPr>
          <w:sz w:val="24"/>
          <w:szCs w:val="24"/>
        </w:rPr>
      </w:pPr>
      <w:r w:rsidRPr="005F1D2F">
        <w:rPr>
          <w:b/>
          <w:sz w:val="24"/>
          <w:szCs w:val="24"/>
        </w:rPr>
        <w:t>INDICAÇÃO Nº</w:t>
      </w:r>
      <w:r w:rsidR="00361F78" w:rsidRPr="005F1D2F">
        <w:rPr>
          <w:b/>
          <w:sz w:val="24"/>
          <w:szCs w:val="24"/>
        </w:rPr>
        <w:t xml:space="preserve"> </w:t>
      </w:r>
      <w:r w:rsidR="00D57B28">
        <w:rPr>
          <w:b/>
          <w:sz w:val="24"/>
          <w:szCs w:val="24"/>
        </w:rPr>
        <w:t xml:space="preserve">        </w:t>
      </w:r>
      <w:r w:rsidRPr="005F1D2F">
        <w:rPr>
          <w:b/>
          <w:sz w:val="24"/>
          <w:szCs w:val="24"/>
        </w:rPr>
        <w:t>/202</w:t>
      </w:r>
      <w:r w:rsidR="007714BF">
        <w:rPr>
          <w:b/>
          <w:sz w:val="24"/>
          <w:szCs w:val="24"/>
        </w:rPr>
        <w:t>5</w:t>
      </w:r>
    </w:p>
    <w:p w14:paraId="073B789B" w14:textId="77777777" w:rsidR="00E85102" w:rsidRPr="005F1D2F" w:rsidRDefault="00E85102">
      <w:pPr>
        <w:ind w:left="4248"/>
        <w:jc w:val="both"/>
        <w:rPr>
          <w:b/>
          <w:sz w:val="24"/>
          <w:szCs w:val="24"/>
        </w:rPr>
      </w:pPr>
    </w:p>
    <w:p w14:paraId="0F8E8843" w14:textId="77777777" w:rsidR="00E85102" w:rsidRPr="00D57B28" w:rsidRDefault="00E85102">
      <w:pPr>
        <w:ind w:left="4248"/>
        <w:jc w:val="both"/>
        <w:rPr>
          <w:b/>
          <w:sz w:val="24"/>
          <w:szCs w:val="24"/>
        </w:rPr>
      </w:pPr>
    </w:p>
    <w:p w14:paraId="6A0E1D6C" w14:textId="54765D98" w:rsidR="00E85102" w:rsidRPr="005F1D2F" w:rsidRDefault="00130AF9" w:rsidP="001F6428">
      <w:pPr>
        <w:spacing w:line="240" w:lineRule="auto"/>
        <w:ind w:left="3828"/>
        <w:jc w:val="both"/>
        <w:rPr>
          <w:sz w:val="24"/>
          <w:szCs w:val="24"/>
        </w:rPr>
      </w:pPr>
      <w:r w:rsidRPr="00D57B28">
        <w:rPr>
          <w:b/>
          <w:sz w:val="24"/>
          <w:szCs w:val="24"/>
        </w:rPr>
        <w:t>Indica</w:t>
      </w:r>
      <w:r w:rsidR="007714BF">
        <w:rPr>
          <w:b/>
          <w:sz w:val="24"/>
          <w:szCs w:val="24"/>
        </w:rPr>
        <w:t xml:space="preserve"> a alteração do Mapa 1 do Plano Diretor - Lei 3385/2019 (</w:t>
      </w:r>
      <w:r w:rsidR="001F6428" w:rsidRPr="007714BF">
        <w:rPr>
          <w:b/>
          <w:sz w:val="24"/>
          <w:szCs w:val="24"/>
        </w:rPr>
        <w:t xml:space="preserve">republicação dos mapas em 21/01/2019, </w:t>
      </w:r>
      <w:r w:rsidR="001F6428">
        <w:rPr>
          <w:b/>
          <w:sz w:val="24"/>
          <w:szCs w:val="24"/>
        </w:rPr>
        <w:t xml:space="preserve">devido a </w:t>
      </w:r>
      <w:r w:rsidR="001F6428" w:rsidRPr="007714BF">
        <w:rPr>
          <w:b/>
          <w:sz w:val="24"/>
          <w:szCs w:val="24"/>
        </w:rPr>
        <w:t>incorreções</w:t>
      </w:r>
      <w:r w:rsidR="001F6428">
        <w:rPr>
          <w:b/>
          <w:sz w:val="24"/>
          <w:szCs w:val="24"/>
        </w:rPr>
        <w:t xml:space="preserve"> </w:t>
      </w:r>
      <w:r w:rsidR="001F6428" w:rsidRPr="007714BF">
        <w:rPr>
          <w:b/>
          <w:sz w:val="24"/>
          <w:szCs w:val="24"/>
        </w:rPr>
        <w:t xml:space="preserve">- consultas no link </w:t>
      </w:r>
      <w:r w:rsidR="001F6428">
        <w:rPr>
          <w:b/>
          <w:sz w:val="24"/>
          <w:szCs w:val="24"/>
        </w:rPr>
        <w:t>h</w:t>
      </w:r>
      <w:r w:rsidR="001F6428" w:rsidRPr="007714BF">
        <w:rPr>
          <w:b/>
          <w:sz w:val="24"/>
          <w:szCs w:val="24"/>
        </w:rPr>
        <w:t>ttps://geo.niteroi.rj.gov.br/portal/home/</w:t>
      </w:r>
      <w:r w:rsidR="001F6428">
        <w:rPr>
          <w:b/>
          <w:sz w:val="24"/>
          <w:szCs w:val="24"/>
        </w:rPr>
        <w:t>)</w:t>
      </w:r>
    </w:p>
    <w:p w14:paraId="3A8BA315" w14:textId="77777777" w:rsidR="00E85102" w:rsidRPr="005F1D2F" w:rsidRDefault="00E85102">
      <w:pPr>
        <w:rPr>
          <w:sz w:val="24"/>
          <w:szCs w:val="24"/>
        </w:rPr>
      </w:pPr>
    </w:p>
    <w:p w14:paraId="19FC3738" w14:textId="77777777" w:rsidR="00E85102" w:rsidRPr="005F1D2F" w:rsidRDefault="00E85102">
      <w:pPr>
        <w:rPr>
          <w:sz w:val="24"/>
          <w:szCs w:val="24"/>
        </w:rPr>
      </w:pPr>
    </w:p>
    <w:p w14:paraId="7BDF29F8" w14:textId="77927EDC" w:rsidR="00E85102" w:rsidRPr="00D57B28" w:rsidRDefault="00130AF9" w:rsidP="00A462AC">
      <w:pPr>
        <w:spacing w:line="240" w:lineRule="auto"/>
        <w:jc w:val="both"/>
        <w:rPr>
          <w:bCs/>
          <w:sz w:val="24"/>
          <w:szCs w:val="24"/>
        </w:rPr>
      </w:pPr>
      <w:r w:rsidRPr="005F1D2F">
        <w:rPr>
          <w:sz w:val="24"/>
          <w:szCs w:val="24"/>
        </w:rPr>
        <w:t xml:space="preserve">Indico à Mesa na forma </w:t>
      </w:r>
      <w:r w:rsidR="0050131B">
        <w:rPr>
          <w:sz w:val="24"/>
          <w:szCs w:val="24"/>
        </w:rPr>
        <w:t>r</w:t>
      </w:r>
      <w:r w:rsidRPr="005F1D2F">
        <w:rPr>
          <w:sz w:val="24"/>
          <w:szCs w:val="24"/>
        </w:rPr>
        <w:t xml:space="preserve">egimental, que seja enviado ofício ao Exmo. Prefeito Municipal </w:t>
      </w:r>
      <w:r w:rsidR="00D57B28">
        <w:rPr>
          <w:sz w:val="24"/>
          <w:szCs w:val="24"/>
        </w:rPr>
        <w:t>Rodrigo Neves</w:t>
      </w:r>
      <w:r w:rsidRPr="005F1D2F">
        <w:rPr>
          <w:sz w:val="24"/>
          <w:szCs w:val="24"/>
        </w:rPr>
        <w:t xml:space="preserve"> </w:t>
      </w:r>
      <w:r w:rsidR="001F6428">
        <w:rPr>
          <w:sz w:val="24"/>
          <w:szCs w:val="24"/>
        </w:rPr>
        <w:t xml:space="preserve">e ao Secretário Municipal de Urbanismo </w:t>
      </w:r>
      <w:r w:rsidRPr="005F1D2F">
        <w:rPr>
          <w:sz w:val="24"/>
          <w:szCs w:val="24"/>
        </w:rPr>
        <w:t>para que envide os esforços necessários a fim de</w:t>
      </w:r>
      <w:r w:rsidRPr="005F1D2F">
        <w:rPr>
          <w:b/>
          <w:sz w:val="24"/>
          <w:szCs w:val="24"/>
        </w:rPr>
        <w:t xml:space="preserve"> </w:t>
      </w:r>
      <w:r w:rsidR="001F6428" w:rsidRPr="001F6428">
        <w:rPr>
          <w:bCs/>
          <w:sz w:val="24"/>
          <w:szCs w:val="24"/>
        </w:rPr>
        <w:t xml:space="preserve">tornar </w:t>
      </w:r>
      <w:r w:rsidR="001F6428">
        <w:rPr>
          <w:bCs/>
          <w:sz w:val="24"/>
          <w:szCs w:val="24"/>
        </w:rPr>
        <w:t>o Mapa 1 do Plano Diretor semelhantes à legenda dos mapas da Lei</w:t>
      </w:r>
      <w:r w:rsidR="0050131B">
        <w:rPr>
          <w:bCs/>
          <w:sz w:val="24"/>
          <w:szCs w:val="24"/>
        </w:rPr>
        <w:t xml:space="preserve"> nº</w:t>
      </w:r>
      <w:r w:rsidR="001F6428">
        <w:rPr>
          <w:bCs/>
          <w:sz w:val="24"/>
          <w:szCs w:val="24"/>
        </w:rPr>
        <w:t xml:space="preserve"> 3905/2024, também conhecida como Lei Urbanística, no que se refere à </w:t>
      </w:r>
      <w:r w:rsidR="00663FA3">
        <w:rPr>
          <w:bCs/>
          <w:sz w:val="24"/>
          <w:szCs w:val="24"/>
        </w:rPr>
        <w:t xml:space="preserve">delimitação </w:t>
      </w:r>
      <w:r w:rsidR="001F6428">
        <w:rPr>
          <w:bCs/>
          <w:sz w:val="24"/>
          <w:szCs w:val="24"/>
        </w:rPr>
        <w:t>do bairro de Muriqui</w:t>
      </w:r>
      <w:r w:rsidR="0050131B">
        <w:rPr>
          <w:bCs/>
          <w:sz w:val="24"/>
          <w:szCs w:val="24"/>
        </w:rPr>
        <w:t>,</w:t>
      </w:r>
      <w:r w:rsidR="001F6428">
        <w:rPr>
          <w:bCs/>
          <w:sz w:val="24"/>
          <w:szCs w:val="24"/>
        </w:rPr>
        <w:t xml:space="preserve"> </w:t>
      </w:r>
      <w:r w:rsidR="00D02FE6">
        <w:rPr>
          <w:bCs/>
          <w:sz w:val="24"/>
          <w:szCs w:val="24"/>
        </w:rPr>
        <w:t>antes pertencente à Região Leste</w:t>
      </w:r>
      <w:r w:rsidR="0050131B">
        <w:rPr>
          <w:bCs/>
          <w:sz w:val="24"/>
          <w:szCs w:val="24"/>
        </w:rPr>
        <w:t>,</w:t>
      </w:r>
      <w:r w:rsidR="00D02FE6">
        <w:rPr>
          <w:bCs/>
          <w:sz w:val="24"/>
          <w:szCs w:val="24"/>
        </w:rPr>
        <w:t xml:space="preserve"> e </w:t>
      </w:r>
      <w:r w:rsidR="00663FA3">
        <w:rPr>
          <w:bCs/>
          <w:sz w:val="24"/>
          <w:szCs w:val="24"/>
        </w:rPr>
        <w:t xml:space="preserve">transferindo-o </w:t>
      </w:r>
      <w:r w:rsidR="001F6428">
        <w:rPr>
          <w:bCs/>
          <w:sz w:val="24"/>
          <w:szCs w:val="24"/>
        </w:rPr>
        <w:t xml:space="preserve">para a Região </w:t>
      </w:r>
      <w:r w:rsidR="00663FA3">
        <w:rPr>
          <w:bCs/>
          <w:sz w:val="24"/>
          <w:szCs w:val="24"/>
        </w:rPr>
        <w:t>de Pendotiba.</w:t>
      </w:r>
    </w:p>
    <w:p w14:paraId="3B5A0C00" w14:textId="77777777" w:rsidR="00E85102" w:rsidRPr="005F1D2F" w:rsidRDefault="00E85102">
      <w:pPr>
        <w:jc w:val="both"/>
        <w:rPr>
          <w:sz w:val="24"/>
          <w:szCs w:val="24"/>
        </w:rPr>
      </w:pPr>
    </w:p>
    <w:p w14:paraId="7B78D3ED" w14:textId="77777777" w:rsidR="00A462AC" w:rsidRPr="005F1D2F" w:rsidRDefault="00A462AC">
      <w:pPr>
        <w:keepNext/>
        <w:jc w:val="both"/>
        <w:rPr>
          <w:b/>
          <w:sz w:val="24"/>
          <w:szCs w:val="24"/>
        </w:rPr>
      </w:pPr>
    </w:p>
    <w:p w14:paraId="088B2E0D" w14:textId="04CB0483" w:rsidR="00E85102" w:rsidRPr="005F1D2F" w:rsidRDefault="00130AF9">
      <w:pPr>
        <w:keepNext/>
        <w:jc w:val="both"/>
        <w:rPr>
          <w:sz w:val="24"/>
          <w:szCs w:val="24"/>
        </w:rPr>
      </w:pPr>
      <w:r w:rsidRPr="005F1D2F">
        <w:rPr>
          <w:b/>
          <w:sz w:val="24"/>
          <w:szCs w:val="24"/>
        </w:rPr>
        <w:t>JUSTIFICATIVA</w:t>
      </w:r>
    </w:p>
    <w:p w14:paraId="5E72583A" w14:textId="77777777" w:rsidR="00E85102" w:rsidRPr="005F1D2F" w:rsidRDefault="00E85102">
      <w:pPr>
        <w:rPr>
          <w:sz w:val="24"/>
          <w:szCs w:val="24"/>
        </w:rPr>
      </w:pPr>
    </w:p>
    <w:p w14:paraId="7E0E3E6F" w14:textId="6561D3E5" w:rsidR="005F1D2F" w:rsidRDefault="003D17AE" w:rsidP="003D17A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acordo com a </w:t>
      </w:r>
      <w:r w:rsidR="00896DD4">
        <w:rPr>
          <w:sz w:val="24"/>
          <w:szCs w:val="24"/>
        </w:rPr>
        <w:t xml:space="preserve">justificativa da </w:t>
      </w:r>
      <w:r>
        <w:rPr>
          <w:sz w:val="24"/>
          <w:szCs w:val="24"/>
        </w:rPr>
        <w:t xml:space="preserve">emenda </w:t>
      </w:r>
      <w:r w:rsidR="00896DD4">
        <w:rPr>
          <w:sz w:val="24"/>
          <w:szCs w:val="24"/>
        </w:rPr>
        <w:t xml:space="preserve">aprovada </w:t>
      </w:r>
      <w:r>
        <w:rPr>
          <w:sz w:val="24"/>
          <w:szCs w:val="24"/>
        </w:rPr>
        <w:t>nº 200 ao Projeto de Lei 221/2023, então Lei Urbanística</w:t>
      </w:r>
      <w:r w:rsidR="00896D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352D20B0" w14:textId="2279D241" w:rsidR="00896DD4" w:rsidRDefault="003D17AE" w:rsidP="00861636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Há mais de 3 décadas à espera de um Plano Urbanístico Regional, o Coletivo Muriqui,</w:t>
      </w:r>
      <w:r w:rsidR="00896DD4">
        <w:rPr>
          <w:sz w:val="24"/>
          <w:szCs w:val="24"/>
        </w:rPr>
        <w:t xml:space="preserve"> </w:t>
      </w:r>
      <w:r>
        <w:rPr>
          <w:sz w:val="24"/>
          <w:szCs w:val="24"/>
        </w:rPr>
        <w:t>solicita a inclusão no Projeto de Lei 00221/2023 da redefinição dos limites o bairro do</w:t>
      </w:r>
      <w:r w:rsidR="00896DD4">
        <w:rPr>
          <w:sz w:val="24"/>
          <w:szCs w:val="24"/>
        </w:rPr>
        <w:t xml:space="preserve"> </w:t>
      </w:r>
      <w:r>
        <w:rPr>
          <w:sz w:val="24"/>
          <w:szCs w:val="24"/>
        </w:rPr>
        <w:t>Muriqui bem como a sua reintegração à Região de Pendotiba, tendo como base a Lei</w:t>
      </w:r>
      <w:r w:rsidR="00896DD4">
        <w:rPr>
          <w:sz w:val="24"/>
          <w:szCs w:val="24"/>
        </w:rPr>
        <w:t xml:space="preserve"> </w:t>
      </w:r>
      <w:r>
        <w:rPr>
          <w:sz w:val="24"/>
          <w:szCs w:val="24"/>
        </w:rPr>
        <w:t>1470 / 1995 - art. 11, parágrafo 2º, que tem a seguinte redação: “As delimitações dos</w:t>
      </w:r>
      <w:r w:rsidR="00896DD4">
        <w:rPr>
          <w:sz w:val="24"/>
          <w:szCs w:val="24"/>
        </w:rPr>
        <w:t xml:space="preserve"> </w:t>
      </w:r>
      <w:r>
        <w:rPr>
          <w:sz w:val="24"/>
          <w:szCs w:val="24"/>
        </w:rPr>
        <w:t>bairros serão aquelas dispostas no dec. nº 4.895/86 de abairramento, até a</w:t>
      </w:r>
      <w:r w:rsidR="00896DD4">
        <w:rPr>
          <w:sz w:val="24"/>
          <w:szCs w:val="24"/>
        </w:rPr>
        <w:t xml:space="preserve"> regulamentação dos Planos Urbanísticos Regionais, os quais poderão definir um novo abairramento”.</w:t>
      </w:r>
    </w:p>
    <w:p w14:paraId="02E93250" w14:textId="7858B843" w:rsidR="003D17AE" w:rsidRPr="005F1D2F" w:rsidRDefault="00896DD4" w:rsidP="00861636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retificação do limite entre os bairros do Muriqui e Rio do Ouro deverá seguir o mesmo limite entre as sub bacias do Rio Muriqui, Córrego do Malheiro e a sub bacia do Rio do Ouro.</w:t>
      </w:r>
    </w:p>
    <w:p w14:paraId="63494AA1" w14:textId="77777777" w:rsidR="00D115EB" w:rsidRDefault="00D115EB" w:rsidP="00D115E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localidades do Ourives e Vilas Romanas são partes integrantes de um só território, o Muriqui; compartilham a mesma ambiência e o único acesso com o Muriqui Grande e Chibante. Neste território, assim compreendido por seus </w:t>
      </w:r>
      <w:r>
        <w:rPr>
          <w:sz w:val="24"/>
          <w:szCs w:val="24"/>
        </w:rPr>
        <w:lastRenderedPageBreak/>
        <w:t>moradores, se faz presente o sentimento de vizinhança e pertencimento, além da contínua luta por soluções e melhorias institucionais e em infraestrutura.</w:t>
      </w:r>
    </w:p>
    <w:p w14:paraId="0837DB1D" w14:textId="592DCF32" w:rsidR="00896DD4" w:rsidRDefault="00861636" w:rsidP="00861636">
      <w:pPr>
        <w:rPr>
          <w:sz w:val="24"/>
          <w:szCs w:val="24"/>
        </w:rPr>
      </w:pPr>
      <w:r w:rsidRPr="00861636">
        <w:rPr>
          <w:noProof/>
          <w:sz w:val="24"/>
          <w:szCs w:val="24"/>
        </w:rPr>
        <w:drawing>
          <wp:inline distT="0" distB="0" distL="0" distR="0" wp14:anchorId="499FCDD4" wp14:editId="3FD54551">
            <wp:extent cx="5401945" cy="2216150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1945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B27E2" w14:textId="233A4CF7" w:rsidR="00861636" w:rsidRDefault="00D115EB" w:rsidP="00861636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861636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4133577" wp14:editId="38775279">
            <wp:simplePos x="0" y="0"/>
            <wp:positionH relativeFrom="column">
              <wp:posOffset>-60960</wp:posOffset>
            </wp:positionH>
            <wp:positionV relativeFrom="paragraph">
              <wp:posOffset>1586865</wp:posOffset>
            </wp:positionV>
            <wp:extent cx="5401945" cy="1566545"/>
            <wp:effectExtent l="0" t="0" r="8255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945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1636">
        <w:rPr>
          <w:sz w:val="24"/>
          <w:szCs w:val="24"/>
        </w:rPr>
        <w:t>Para tal, o “novo” bairro do Muriqui estará reintegrado, com os seus limites redefinidos, à Região de Pendotiba, lembrando que o mapa das regiões administrativas do Plano Diretor de 1992, o Muriqui ainda se encontrava na Região de Pendotiba. Ficando assim a divisa entre as Regiões de Pendotiba e Leste e com a Região Oceânica está demarcada sobre o limite entre as bacias dos rios Muriqui e Jacaré.</w:t>
      </w:r>
    </w:p>
    <w:p w14:paraId="120BCCFA" w14:textId="18C7643D" w:rsidR="00861636" w:rsidRDefault="00861636" w:rsidP="00D115E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Vale destacar que o Muriqui possui registros na imprensa desde o ano de 1825, 41 anos depois, onde a palavra Pendotiba aparece como denominação de uma fazenda nas imediações e dois anos depois, Pendotiba é citada como localidade: “...moradores do Muriqui e Pendotiba”.</w:t>
      </w:r>
    </w:p>
    <w:p w14:paraId="787C1A0F" w14:textId="77777777" w:rsidR="00D115EB" w:rsidRDefault="00D115EB" w:rsidP="00D115E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Com o crescimento da Macrorregião aonde se inclui, o Muriqui passa a ter Pendotiba como referência reconhecida por todos os moradores e assim permanece até os dias de hoje também no noticiário, classificados e até mesmo no informe da Câmara de Vereadores em junho de 2015.</w:t>
      </w:r>
    </w:p>
    <w:p w14:paraId="2FF6980B" w14:textId="5F9C4D22" w:rsidR="00861636" w:rsidRDefault="00861636" w:rsidP="00861636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61636">
        <w:rPr>
          <w:noProof/>
          <w:sz w:val="24"/>
          <w:szCs w:val="24"/>
        </w:rPr>
        <w:lastRenderedPageBreak/>
        <w:drawing>
          <wp:inline distT="0" distB="0" distL="0" distR="0" wp14:anchorId="6D6CBC22" wp14:editId="02C52154">
            <wp:extent cx="5401945" cy="1887220"/>
            <wp:effectExtent l="0" t="0" r="825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1945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2099C" w14:textId="77777777" w:rsidR="00861636" w:rsidRDefault="00861636">
      <w:pPr>
        <w:jc w:val="right"/>
        <w:rPr>
          <w:sz w:val="24"/>
          <w:szCs w:val="24"/>
        </w:rPr>
      </w:pPr>
    </w:p>
    <w:p w14:paraId="475D82C7" w14:textId="71388F65" w:rsidR="00E85102" w:rsidRPr="005F1D2F" w:rsidRDefault="00130AF9">
      <w:pPr>
        <w:jc w:val="right"/>
        <w:rPr>
          <w:sz w:val="24"/>
          <w:szCs w:val="24"/>
        </w:rPr>
      </w:pPr>
      <w:r w:rsidRPr="005F1D2F">
        <w:rPr>
          <w:sz w:val="24"/>
          <w:szCs w:val="24"/>
        </w:rPr>
        <w:t xml:space="preserve">Plenário Brígido Tinoco, </w:t>
      </w:r>
      <w:bookmarkStart w:id="0" w:name="_Hlk198562518"/>
      <w:r w:rsidR="00663FA3">
        <w:rPr>
          <w:sz w:val="24"/>
          <w:szCs w:val="24"/>
        </w:rPr>
        <w:t>04</w:t>
      </w:r>
      <w:r w:rsidRPr="005F1D2F">
        <w:rPr>
          <w:sz w:val="24"/>
          <w:szCs w:val="24"/>
        </w:rPr>
        <w:t xml:space="preserve"> de </w:t>
      </w:r>
      <w:r w:rsidR="00663FA3">
        <w:rPr>
          <w:sz w:val="24"/>
          <w:szCs w:val="24"/>
        </w:rPr>
        <w:t>junho</w:t>
      </w:r>
      <w:r w:rsidRPr="005F1D2F">
        <w:rPr>
          <w:sz w:val="24"/>
          <w:szCs w:val="24"/>
        </w:rPr>
        <w:t xml:space="preserve"> de 202</w:t>
      </w:r>
      <w:r w:rsidR="00663FA3">
        <w:rPr>
          <w:sz w:val="24"/>
          <w:szCs w:val="24"/>
        </w:rPr>
        <w:t>5</w:t>
      </w:r>
      <w:r w:rsidR="00D57B28">
        <w:rPr>
          <w:sz w:val="24"/>
          <w:szCs w:val="24"/>
        </w:rPr>
        <w:t>.</w:t>
      </w:r>
    </w:p>
    <w:bookmarkEnd w:id="0"/>
    <w:p w14:paraId="696EEA2D" w14:textId="77777777" w:rsidR="00E85102" w:rsidRPr="005F1D2F" w:rsidRDefault="00E85102">
      <w:pPr>
        <w:rPr>
          <w:sz w:val="24"/>
          <w:szCs w:val="24"/>
        </w:rPr>
      </w:pPr>
    </w:p>
    <w:p w14:paraId="5F1AB10A" w14:textId="77777777" w:rsidR="00E85102" w:rsidRPr="005F1D2F" w:rsidRDefault="00E85102">
      <w:pPr>
        <w:rPr>
          <w:sz w:val="24"/>
          <w:szCs w:val="24"/>
        </w:rPr>
      </w:pPr>
    </w:p>
    <w:p w14:paraId="1E06ADAB" w14:textId="77777777" w:rsidR="00E85102" w:rsidRPr="005F1D2F" w:rsidRDefault="00E85102">
      <w:pPr>
        <w:rPr>
          <w:sz w:val="24"/>
          <w:szCs w:val="24"/>
        </w:rPr>
      </w:pPr>
    </w:p>
    <w:p w14:paraId="01413538" w14:textId="77777777" w:rsidR="00E85102" w:rsidRPr="005F1D2F" w:rsidRDefault="00E85102">
      <w:pPr>
        <w:rPr>
          <w:sz w:val="24"/>
          <w:szCs w:val="24"/>
        </w:rPr>
      </w:pPr>
    </w:p>
    <w:p w14:paraId="3DA34C62" w14:textId="77777777" w:rsidR="00E85102" w:rsidRPr="005F1D2F" w:rsidRDefault="00130AF9">
      <w:pPr>
        <w:spacing w:line="240" w:lineRule="auto"/>
        <w:jc w:val="center"/>
        <w:rPr>
          <w:b/>
          <w:sz w:val="24"/>
          <w:szCs w:val="24"/>
        </w:rPr>
      </w:pPr>
      <w:r w:rsidRPr="005F1D2F">
        <w:rPr>
          <w:b/>
          <w:sz w:val="24"/>
          <w:szCs w:val="24"/>
        </w:rPr>
        <w:t>Professor Tulio</w:t>
      </w:r>
    </w:p>
    <w:p w14:paraId="30ADB55F" w14:textId="77777777" w:rsidR="00E85102" w:rsidRPr="005F1D2F" w:rsidRDefault="00E85102">
      <w:pPr>
        <w:rPr>
          <w:sz w:val="24"/>
          <w:szCs w:val="24"/>
        </w:rPr>
      </w:pPr>
    </w:p>
    <w:p w14:paraId="1313D242" w14:textId="77777777" w:rsidR="00E85102" w:rsidRDefault="00E85102">
      <w:pPr>
        <w:rPr>
          <w:sz w:val="24"/>
          <w:szCs w:val="24"/>
        </w:rPr>
      </w:pPr>
    </w:p>
    <w:p w14:paraId="7A75F228" w14:textId="77777777" w:rsidR="00E85102" w:rsidRDefault="00E85102">
      <w:pPr>
        <w:rPr>
          <w:sz w:val="24"/>
          <w:szCs w:val="24"/>
        </w:rPr>
      </w:pPr>
    </w:p>
    <w:p w14:paraId="19D7F3FA" w14:textId="77777777" w:rsidR="00E85102" w:rsidRDefault="00E85102">
      <w:pPr>
        <w:rPr>
          <w:sz w:val="24"/>
          <w:szCs w:val="24"/>
        </w:rPr>
      </w:pPr>
    </w:p>
    <w:p w14:paraId="0CB772A6" w14:textId="77777777" w:rsidR="00E85102" w:rsidRDefault="00E85102">
      <w:pPr>
        <w:rPr>
          <w:sz w:val="24"/>
          <w:szCs w:val="24"/>
        </w:rPr>
      </w:pPr>
    </w:p>
    <w:p w14:paraId="74B5FFF3" w14:textId="77777777" w:rsidR="00E85102" w:rsidRDefault="00E85102">
      <w:bookmarkStart w:id="1" w:name="_heading=h.gjdgxs" w:colFirst="0" w:colLast="0"/>
      <w:bookmarkEnd w:id="1"/>
    </w:p>
    <w:sectPr w:rsidR="00E85102" w:rsidSect="00865E9C">
      <w:headerReference w:type="default" r:id="rId10"/>
      <w:pgSz w:w="11909" w:h="16834"/>
      <w:pgMar w:top="1417" w:right="1701" w:bottom="1417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747C9" w14:textId="77777777" w:rsidR="00D84CE4" w:rsidRDefault="00D84CE4">
      <w:pPr>
        <w:spacing w:line="240" w:lineRule="auto"/>
      </w:pPr>
      <w:r>
        <w:separator/>
      </w:r>
    </w:p>
  </w:endnote>
  <w:endnote w:type="continuationSeparator" w:id="0">
    <w:p w14:paraId="6987E2EB" w14:textId="77777777" w:rsidR="00D84CE4" w:rsidRDefault="00D84C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8AC88" w14:textId="77777777" w:rsidR="00D84CE4" w:rsidRDefault="00D84CE4">
      <w:pPr>
        <w:spacing w:line="240" w:lineRule="auto"/>
      </w:pPr>
      <w:r>
        <w:separator/>
      </w:r>
    </w:p>
  </w:footnote>
  <w:footnote w:type="continuationSeparator" w:id="0">
    <w:p w14:paraId="3F39D867" w14:textId="77777777" w:rsidR="00D84CE4" w:rsidRDefault="00D84C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865E9C" w:rsidRPr="004F34C2" w14:paraId="49948CAF" w14:textId="77777777" w:rsidTr="001D7C6F">
      <w:trPr>
        <w:trHeight w:val="1760"/>
      </w:trPr>
      <w:tc>
        <w:tcPr>
          <w:tcW w:w="1739" w:type="dxa"/>
        </w:tcPr>
        <w:p w14:paraId="2E06F5D9" w14:textId="77777777" w:rsidR="00865E9C" w:rsidRPr="00C12293" w:rsidRDefault="00865E9C" w:rsidP="00865E9C">
          <w:pPr>
            <w:pStyle w:val="Cabealho"/>
            <w:snapToGrid w:val="0"/>
            <w:rPr>
              <w:rFonts w:ascii="Tahoma" w:hAnsi="Tahoma" w:cs="Tahoma"/>
            </w:rPr>
          </w:pPr>
          <w:bookmarkStart w:id="2" w:name="_Hlk198565099"/>
          <w:r w:rsidRPr="00EA7366">
            <w:rPr>
              <w:rFonts w:ascii="Tahoma" w:hAnsi="Tahoma" w:cs="Tahoma"/>
              <w:noProof/>
            </w:rPr>
            <w:drawing>
              <wp:anchor distT="0" distB="0" distL="114300" distR="114300" simplePos="0" relativeHeight="251659264" behindDoc="0" locked="0" layoutInCell="1" allowOverlap="1" wp14:anchorId="62E5E97E" wp14:editId="5E6B439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25492452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5C12490B" w14:textId="77777777" w:rsidR="00865E9C" w:rsidRPr="00C12293" w:rsidRDefault="00865E9C" w:rsidP="00865E9C">
          <w:pPr>
            <w:pStyle w:val="Cabealho"/>
            <w:snapToGrid w:val="0"/>
            <w:jc w:val="center"/>
            <w:rPr>
              <w:rFonts w:ascii="Tahoma" w:hAnsi="Tahoma" w:cs="Tahoma"/>
            </w:rPr>
          </w:pPr>
        </w:p>
        <w:p w14:paraId="44890236" w14:textId="66C87357" w:rsidR="00865E9C" w:rsidRPr="00CF7CB3" w:rsidRDefault="00865E9C" w:rsidP="00FD362B">
          <w:pPr>
            <w:pStyle w:val="Cabealho"/>
            <w:tabs>
              <w:tab w:val="left" w:pos="675"/>
            </w:tabs>
            <w:jc w:val="center"/>
            <w:rPr>
              <w:b/>
              <w:bCs/>
              <w:sz w:val="44"/>
              <w:szCs w:val="44"/>
            </w:rPr>
          </w:pPr>
          <w:r w:rsidRPr="00CF7CB3">
            <w:rPr>
              <w:b/>
              <w:bCs/>
              <w:sz w:val="44"/>
              <w:szCs w:val="44"/>
            </w:rPr>
            <w:t>Câmara Municipal de Niterói</w:t>
          </w:r>
        </w:p>
        <w:p w14:paraId="5726BBF0" w14:textId="32FDAB6B" w:rsidR="00865E9C" w:rsidRPr="008E0586" w:rsidRDefault="00865E9C" w:rsidP="00FD362B">
          <w:pPr>
            <w:pStyle w:val="Cabealho"/>
            <w:jc w:val="center"/>
            <w:rPr>
              <w:b/>
              <w:bCs/>
              <w:sz w:val="28"/>
              <w:szCs w:val="28"/>
            </w:rPr>
          </w:pPr>
          <w:r w:rsidRPr="008E0586">
            <w:rPr>
              <w:b/>
              <w:bCs/>
              <w:sz w:val="28"/>
              <w:szCs w:val="28"/>
            </w:rPr>
            <w:t>Gabinete do Vereador Professor Tulio</w:t>
          </w:r>
        </w:p>
        <w:p w14:paraId="0404DCBA" w14:textId="48A60768" w:rsidR="00865E9C" w:rsidRPr="004F34C2" w:rsidRDefault="00865E9C" w:rsidP="00FD362B">
          <w:pPr>
            <w:pStyle w:val="Cabealho"/>
            <w:jc w:val="center"/>
            <w:rPr>
              <w:rFonts w:ascii="Tahoma" w:hAnsi="Tahoma" w:cs="Tahoma"/>
              <w:b/>
              <w:bCs/>
              <w:sz w:val="32"/>
              <w:szCs w:val="32"/>
            </w:rPr>
          </w:pPr>
          <w:r w:rsidRPr="008E0586">
            <w:rPr>
              <w:b/>
              <w:bCs/>
              <w:sz w:val="24"/>
              <w:szCs w:val="24"/>
            </w:rPr>
            <w:t xml:space="preserve">Partido Socialismo e Liberdade </w:t>
          </w:r>
          <w:r>
            <w:rPr>
              <w:b/>
              <w:bCs/>
              <w:sz w:val="24"/>
              <w:szCs w:val="24"/>
            </w:rPr>
            <w:t>(</w:t>
          </w:r>
          <w:r w:rsidRPr="008E0586">
            <w:rPr>
              <w:b/>
              <w:bCs/>
              <w:sz w:val="24"/>
              <w:szCs w:val="24"/>
            </w:rPr>
            <w:t>PSOL</w:t>
          </w:r>
          <w:r>
            <w:rPr>
              <w:b/>
              <w:bCs/>
              <w:sz w:val="24"/>
              <w:szCs w:val="24"/>
            </w:rPr>
            <w:t>)</w:t>
          </w:r>
        </w:p>
      </w:tc>
    </w:tr>
    <w:bookmarkEnd w:id="2"/>
  </w:tbl>
  <w:p w14:paraId="69A10872" w14:textId="4B0FA2A6" w:rsidR="00E85102" w:rsidRPr="00A462AC" w:rsidRDefault="00E85102" w:rsidP="00A46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102"/>
    <w:rsid w:val="00130AF9"/>
    <w:rsid w:val="001D0BCC"/>
    <w:rsid w:val="001F6428"/>
    <w:rsid w:val="00361F78"/>
    <w:rsid w:val="003D17AE"/>
    <w:rsid w:val="0049711C"/>
    <w:rsid w:val="0050131B"/>
    <w:rsid w:val="005F1D2F"/>
    <w:rsid w:val="005F2316"/>
    <w:rsid w:val="00624CA8"/>
    <w:rsid w:val="00663FA3"/>
    <w:rsid w:val="007714BF"/>
    <w:rsid w:val="008213F4"/>
    <w:rsid w:val="00861636"/>
    <w:rsid w:val="00865E9C"/>
    <w:rsid w:val="00896DD4"/>
    <w:rsid w:val="00A462AC"/>
    <w:rsid w:val="00D02FE6"/>
    <w:rsid w:val="00D115EB"/>
    <w:rsid w:val="00D57B28"/>
    <w:rsid w:val="00D84CE4"/>
    <w:rsid w:val="00E85102"/>
    <w:rsid w:val="00FD362B"/>
    <w:rsid w:val="00FF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CBD1E"/>
  <w15:docId w15:val="{BAD07981-2614-43DC-8474-A9C0F67F4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/>
    <w:rsid w:val="00220A98"/>
    <w:pPr>
      <w:ind w:left="720"/>
      <w:contextualSpacing/>
    </w:pPr>
  </w:style>
  <w:style w:type="character" w:customStyle="1" w:styleId="HeaderChar1">
    <w:name w:val="Header Char1"/>
    <w:uiPriority w:val="99"/>
    <w:locked/>
    <w:rsid w:val="00063318"/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K2wchaAHyThUKJJdW8cFKF1EsWA==">AMUW2mXSWUEy34AIROrVwJkrjaDjedLyajoluZlhqYPSi+nYo93NM5GG1A1a96OZymsqlknr2aTxdKXCbB/oj32zSNBKPPLU7bod6z4W2aQQnVKMCopFlLCVXPKnNAWMQJxV61488C82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Cynthia Gorham</cp:lastModifiedBy>
  <cp:revision>3</cp:revision>
  <dcterms:created xsi:type="dcterms:W3CDTF">2025-06-04T14:13:00Z</dcterms:created>
  <dcterms:modified xsi:type="dcterms:W3CDTF">2025-06-04T17:10:00Z</dcterms:modified>
</cp:coreProperties>
</file>