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A37A6" w14:textId="77777777" w:rsidR="00C44FE1" w:rsidRPr="00C44FE1" w:rsidRDefault="00C44FE1" w:rsidP="00C44FE1">
      <w:pPr>
        <w:pStyle w:val="NormalWeb"/>
        <w:spacing w:before="2" w:after="2" w:line="429" w:lineRule="atLeast"/>
        <w:jc w:val="center"/>
        <w:rPr>
          <w:rFonts w:ascii="Times New Roman" w:hAnsi="Times New Roman"/>
          <w:color w:val="404040"/>
          <w:sz w:val="24"/>
          <w:szCs w:val="24"/>
          <w:lang w:eastAsia="pt-BR"/>
        </w:rPr>
      </w:pPr>
      <w:r w:rsidRPr="00C44FE1">
        <w:rPr>
          <w:rStyle w:val="Forte"/>
          <w:rFonts w:ascii="Times New Roman" w:hAnsi="Times New Roman"/>
          <w:color w:val="404040"/>
          <w:sz w:val="24"/>
          <w:szCs w:val="24"/>
        </w:rPr>
        <w:t>PROJETO DE LEI Nº ____/202</w:t>
      </w:r>
      <w:r>
        <w:rPr>
          <w:rStyle w:val="Forte"/>
          <w:rFonts w:ascii="Times New Roman" w:hAnsi="Times New Roman"/>
          <w:color w:val="404040"/>
          <w:sz w:val="24"/>
          <w:szCs w:val="24"/>
        </w:rPr>
        <w:t>5</w:t>
      </w:r>
    </w:p>
    <w:p w14:paraId="6CA58B55" w14:textId="77777777" w:rsidR="00C44FE1" w:rsidRDefault="00C44FE1" w:rsidP="00C44FE1">
      <w:pPr>
        <w:pStyle w:val="NormalWeb"/>
        <w:spacing w:before="2" w:after="2" w:line="429" w:lineRule="atLeast"/>
        <w:rPr>
          <w:rStyle w:val="Forte"/>
          <w:rFonts w:ascii="Times New Roman" w:hAnsi="Times New Roman"/>
          <w:color w:val="404040"/>
          <w:sz w:val="24"/>
          <w:szCs w:val="24"/>
        </w:rPr>
      </w:pPr>
    </w:p>
    <w:p w14:paraId="25DF2647" w14:textId="4F554B78" w:rsidR="001F5C9D" w:rsidRPr="00C44FE1" w:rsidRDefault="00096994" w:rsidP="00A46946">
      <w:pPr>
        <w:pStyle w:val="NormalWeb"/>
        <w:spacing w:before="2" w:after="2" w:line="429" w:lineRule="atLeast"/>
        <w:ind w:left="4536"/>
        <w:jc w:val="both"/>
        <w:rPr>
          <w:rFonts w:ascii="Times New Roman" w:hAnsi="Times New Roman"/>
          <w:color w:val="404040"/>
          <w:sz w:val="24"/>
          <w:szCs w:val="24"/>
        </w:rPr>
      </w:pPr>
      <w:r w:rsidRPr="00096994">
        <w:rPr>
          <w:rFonts w:ascii="Times New Roman" w:hAnsi="Times New Roman"/>
          <w:b/>
          <w:bCs/>
          <w:color w:val="404040"/>
          <w:sz w:val="22"/>
          <w:szCs w:val="22"/>
        </w:rPr>
        <w:t>Dispõe sobre a obrigatoriedade de dispositivos de segurança em caçambas estacionárias destinadas à coleta e remoção de entulho, terra e resíduos de construção civil no Município de Niterói e dá outras providências</w:t>
      </w:r>
      <w:r w:rsidR="00A46946" w:rsidRPr="00A46946">
        <w:rPr>
          <w:rFonts w:ascii="Times New Roman" w:hAnsi="Times New Roman"/>
          <w:b/>
          <w:bCs/>
          <w:color w:val="404040"/>
          <w:sz w:val="22"/>
          <w:szCs w:val="22"/>
        </w:rPr>
        <w:t>.</w:t>
      </w:r>
    </w:p>
    <w:p w14:paraId="7CCC48EE" w14:textId="77777777" w:rsidR="00A46946" w:rsidRDefault="00A46946" w:rsidP="00FC4EF8">
      <w:pPr>
        <w:pStyle w:val="NormalWeb"/>
        <w:spacing w:before="2" w:after="2" w:line="429" w:lineRule="atLeast"/>
        <w:jc w:val="center"/>
        <w:rPr>
          <w:rFonts w:ascii="Times New Roman" w:hAnsi="Times New Roman"/>
          <w:b/>
          <w:color w:val="404040"/>
          <w:sz w:val="24"/>
          <w:szCs w:val="24"/>
        </w:rPr>
      </w:pPr>
    </w:p>
    <w:p w14:paraId="18BAC675" w14:textId="77777777" w:rsidR="00FC4EF8" w:rsidRPr="00FC4EF8" w:rsidRDefault="00FC4EF8" w:rsidP="00FC4EF8">
      <w:pPr>
        <w:pStyle w:val="NormalWeb"/>
        <w:spacing w:before="2" w:after="2" w:line="429" w:lineRule="atLeast"/>
        <w:jc w:val="right"/>
        <w:rPr>
          <w:rFonts w:ascii="Times New Roman" w:hAnsi="Times New Roman"/>
          <w:color w:val="404040"/>
          <w:sz w:val="24"/>
          <w:szCs w:val="24"/>
        </w:rPr>
      </w:pPr>
    </w:p>
    <w:p w14:paraId="305A0A69" w14:textId="618B02B4" w:rsidR="00096994" w:rsidRDefault="00096994" w:rsidP="00096994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096994">
        <w:rPr>
          <w:rFonts w:ascii="Times New Roman" w:hAnsi="Times New Roman"/>
          <w:b/>
          <w:color w:val="404040"/>
          <w:sz w:val="24"/>
          <w:szCs w:val="24"/>
        </w:rPr>
        <w:t xml:space="preserve">Art. 1º </w:t>
      </w:r>
      <w:r w:rsidRPr="00096994">
        <w:rPr>
          <w:rFonts w:ascii="Times New Roman" w:hAnsi="Times New Roman"/>
          <w:color w:val="404040"/>
          <w:sz w:val="24"/>
          <w:szCs w:val="24"/>
        </w:rPr>
        <w:t xml:space="preserve">As caçambas estacionárias utilizadas para a coleta e remoção de entulho, terra e resíduos de materiais de construção, situadas em logradouros públicos no âmbito do Município de Niterói, deverão estar equipadas com dispositivo de segurança que possibilite a cobertura do material transportado até seu </w:t>
      </w:r>
      <w:proofErr w:type="gramStart"/>
      <w:r w:rsidRPr="00096994">
        <w:rPr>
          <w:rFonts w:ascii="Times New Roman" w:hAnsi="Times New Roman"/>
          <w:color w:val="404040"/>
          <w:sz w:val="24"/>
          <w:szCs w:val="24"/>
        </w:rPr>
        <w:t>destino final</w:t>
      </w:r>
      <w:proofErr w:type="gramEnd"/>
      <w:r w:rsidRPr="00096994">
        <w:rPr>
          <w:rFonts w:ascii="Times New Roman" w:hAnsi="Times New Roman"/>
          <w:color w:val="404040"/>
          <w:sz w:val="24"/>
          <w:szCs w:val="24"/>
        </w:rPr>
        <w:t>.</w:t>
      </w:r>
    </w:p>
    <w:p w14:paraId="189D29AA" w14:textId="77777777" w:rsidR="00096994" w:rsidRPr="00096994" w:rsidRDefault="00096994" w:rsidP="00096994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</w:p>
    <w:p w14:paraId="094E3823" w14:textId="77777777" w:rsidR="00096994" w:rsidRDefault="00096994" w:rsidP="00096994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096994">
        <w:rPr>
          <w:rFonts w:ascii="Times New Roman" w:hAnsi="Times New Roman"/>
          <w:b/>
          <w:color w:val="404040"/>
          <w:sz w:val="24"/>
          <w:szCs w:val="24"/>
        </w:rPr>
        <w:t xml:space="preserve">§1º </w:t>
      </w:r>
      <w:r w:rsidRPr="00096994">
        <w:rPr>
          <w:rFonts w:ascii="Times New Roman" w:hAnsi="Times New Roman"/>
          <w:color w:val="404040"/>
          <w:sz w:val="24"/>
          <w:szCs w:val="24"/>
        </w:rPr>
        <w:t>O dispositivo de segurança deverá evitar o lançamento de detritos nas vias públicas, contribuindo para a limpeza urbana e segurança no tráfego.</w:t>
      </w:r>
    </w:p>
    <w:p w14:paraId="183D4C14" w14:textId="77777777" w:rsidR="00096994" w:rsidRPr="00096994" w:rsidRDefault="00096994" w:rsidP="00096994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</w:p>
    <w:p w14:paraId="43266DF1" w14:textId="77777777" w:rsidR="00096994" w:rsidRDefault="00096994" w:rsidP="00096994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  <w:r w:rsidRPr="00096994">
        <w:rPr>
          <w:rFonts w:ascii="Times New Roman" w:hAnsi="Times New Roman"/>
          <w:b/>
          <w:color w:val="404040"/>
          <w:sz w:val="24"/>
          <w:szCs w:val="24"/>
        </w:rPr>
        <w:t xml:space="preserve">§2º </w:t>
      </w:r>
      <w:r w:rsidRPr="00096994">
        <w:rPr>
          <w:rFonts w:ascii="Times New Roman" w:hAnsi="Times New Roman"/>
          <w:color w:val="404040"/>
          <w:sz w:val="24"/>
          <w:szCs w:val="24"/>
        </w:rPr>
        <w:t>As caçambas deverão conter, em local visível:</w:t>
      </w:r>
    </w:p>
    <w:p w14:paraId="18CC4FF6" w14:textId="029C599C" w:rsidR="00096994" w:rsidRDefault="00096994" w:rsidP="00096994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  <w:r w:rsidRPr="00096994">
        <w:rPr>
          <w:rFonts w:ascii="Times New Roman" w:hAnsi="Times New Roman"/>
          <w:color w:val="404040"/>
          <w:sz w:val="24"/>
          <w:szCs w:val="24"/>
        </w:rPr>
        <w:br/>
        <w:t xml:space="preserve">I – </w:t>
      </w:r>
      <w:proofErr w:type="gramStart"/>
      <w:r w:rsidRPr="00096994">
        <w:rPr>
          <w:rFonts w:ascii="Times New Roman" w:hAnsi="Times New Roman"/>
          <w:color w:val="404040"/>
          <w:sz w:val="24"/>
          <w:szCs w:val="24"/>
        </w:rPr>
        <w:t>pintura</w:t>
      </w:r>
      <w:proofErr w:type="gramEnd"/>
      <w:r w:rsidRPr="00096994">
        <w:rPr>
          <w:rFonts w:ascii="Times New Roman" w:hAnsi="Times New Roman"/>
          <w:color w:val="404040"/>
          <w:sz w:val="24"/>
          <w:szCs w:val="24"/>
        </w:rPr>
        <w:t xml:space="preserve"> padronizada e faixas refletivas em todas as faces;</w:t>
      </w:r>
      <w:r w:rsidRPr="00096994">
        <w:rPr>
          <w:rFonts w:ascii="Times New Roman" w:hAnsi="Times New Roman"/>
          <w:color w:val="404040"/>
          <w:sz w:val="24"/>
          <w:szCs w:val="24"/>
        </w:rPr>
        <w:br/>
        <w:t>II – identificação da empresa responsável, com nome e telefone;</w:t>
      </w:r>
      <w:r w:rsidRPr="00096994">
        <w:rPr>
          <w:rFonts w:ascii="Times New Roman" w:hAnsi="Times New Roman"/>
          <w:color w:val="404040"/>
          <w:sz w:val="24"/>
          <w:szCs w:val="24"/>
        </w:rPr>
        <w:br/>
        <w:t>III – numeração sequencial única, para fins de fiscalização.</w:t>
      </w:r>
    </w:p>
    <w:p w14:paraId="2D92B9B7" w14:textId="77777777" w:rsidR="00096994" w:rsidRPr="00096994" w:rsidRDefault="00096994" w:rsidP="00096994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</w:p>
    <w:p w14:paraId="156544C6" w14:textId="77777777" w:rsidR="00096994" w:rsidRDefault="00096994" w:rsidP="00096994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  <w:r w:rsidRPr="00096994">
        <w:rPr>
          <w:rFonts w:ascii="Times New Roman" w:hAnsi="Times New Roman"/>
          <w:b/>
          <w:color w:val="404040"/>
          <w:sz w:val="24"/>
          <w:szCs w:val="24"/>
        </w:rPr>
        <w:t xml:space="preserve">§3º </w:t>
      </w:r>
      <w:r w:rsidRPr="00096994">
        <w:rPr>
          <w:rFonts w:ascii="Times New Roman" w:hAnsi="Times New Roman"/>
          <w:color w:val="404040"/>
          <w:sz w:val="24"/>
          <w:szCs w:val="24"/>
        </w:rPr>
        <w:t>As caçambas deverão ser posicionadas de forma a garantir:</w:t>
      </w:r>
    </w:p>
    <w:p w14:paraId="71246183" w14:textId="70EB7E9D" w:rsidR="00096994" w:rsidRDefault="00096994" w:rsidP="00096994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  <w:r w:rsidRPr="00096994">
        <w:rPr>
          <w:rFonts w:ascii="Times New Roman" w:hAnsi="Times New Roman"/>
          <w:color w:val="404040"/>
          <w:sz w:val="24"/>
          <w:szCs w:val="24"/>
        </w:rPr>
        <w:br/>
        <w:t xml:space="preserve">I – </w:t>
      </w:r>
      <w:proofErr w:type="gramStart"/>
      <w:r w:rsidRPr="00096994">
        <w:rPr>
          <w:rFonts w:ascii="Times New Roman" w:hAnsi="Times New Roman"/>
          <w:color w:val="404040"/>
          <w:sz w:val="24"/>
          <w:szCs w:val="24"/>
        </w:rPr>
        <w:t>distância</w:t>
      </w:r>
      <w:proofErr w:type="gramEnd"/>
      <w:r w:rsidRPr="00096994">
        <w:rPr>
          <w:rFonts w:ascii="Times New Roman" w:hAnsi="Times New Roman"/>
          <w:color w:val="404040"/>
          <w:sz w:val="24"/>
          <w:szCs w:val="24"/>
        </w:rPr>
        <w:t xml:space="preserve"> entre 30 cm e 50 cm do meio-fio;</w:t>
      </w:r>
      <w:r w:rsidRPr="00096994">
        <w:rPr>
          <w:rFonts w:ascii="Times New Roman" w:hAnsi="Times New Roman"/>
          <w:color w:val="404040"/>
          <w:sz w:val="24"/>
          <w:szCs w:val="24"/>
        </w:rPr>
        <w:br/>
        <w:t>II – passagem livre de no mínimo 80 cm para pedestres;</w:t>
      </w:r>
      <w:r w:rsidRPr="00096994">
        <w:rPr>
          <w:rFonts w:ascii="Times New Roman" w:hAnsi="Times New Roman"/>
          <w:color w:val="404040"/>
          <w:sz w:val="24"/>
          <w:szCs w:val="24"/>
        </w:rPr>
        <w:br/>
        <w:t>III – ausência de obstrução de bocas de lobo, rampas de acesso, vias de ciclistas ou faixas de rolamento;</w:t>
      </w:r>
      <w:r w:rsidRPr="00096994">
        <w:rPr>
          <w:rFonts w:ascii="Times New Roman" w:hAnsi="Times New Roman"/>
          <w:color w:val="404040"/>
          <w:sz w:val="24"/>
          <w:szCs w:val="24"/>
        </w:rPr>
        <w:br/>
      </w:r>
      <w:r w:rsidRPr="00096994">
        <w:rPr>
          <w:rFonts w:ascii="Times New Roman" w:hAnsi="Times New Roman"/>
          <w:color w:val="404040"/>
          <w:sz w:val="24"/>
          <w:szCs w:val="24"/>
        </w:rPr>
        <w:lastRenderedPageBreak/>
        <w:t>IV – tempo máximo de permanência de 15 (quinze) dias, prorrogável por igual período mediante autorização expressa do órgão competente.</w:t>
      </w:r>
    </w:p>
    <w:p w14:paraId="10D83CDE" w14:textId="77777777" w:rsidR="00096994" w:rsidRPr="00096994" w:rsidRDefault="00096994" w:rsidP="00096994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</w:p>
    <w:p w14:paraId="1BBDD3EE" w14:textId="77777777" w:rsidR="00096994" w:rsidRDefault="00096994" w:rsidP="00096994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  <w:r w:rsidRPr="00096994">
        <w:rPr>
          <w:rFonts w:ascii="Times New Roman" w:hAnsi="Times New Roman"/>
          <w:b/>
          <w:color w:val="404040"/>
          <w:sz w:val="24"/>
          <w:szCs w:val="24"/>
        </w:rPr>
        <w:t xml:space="preserve">Art. 2º </w:t>
      </w:r>
      <w:r w:rsidRPr="00096994">
        <w:rPr>
          <w:rFonts w:ascii="Times New Roman" w:hAnsi="Times New Roman"/>
          <w:color w:val="404040"/>
          <w:sz w:val="24"/>
          <w:szCs w:val="24"/>
        </w:rPr>
        <w:t>Fica proibido o transporte de caçambas sem cobertura adequada e com detritos aderidos às rodas ou carroceria do veículo coletor.</w:t>
      </w:r>
    </w:p>
    <w:p w14:paraId="71D57834" w14:textId="77777777" w:rsidR="00096994" w:rsidRPr="00096994" w:rsidRDefault="00096994" w:rsidP="00096994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</w:p>
    <w:p w14:paraId="5C781652" w14:textId="77777777" w:rsidR="00096994" w:rsidRDefault="00096994" w:rsidP="00096994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  <w:r w:rsidRPr="00096994">
        <w:rPr>
          <w:rFonts w:ascii="Times New Roman" w:hAnsi="Times New Roman"/>
          <w:b/>
          <w:color w:val="404040"/>
          <w:sz w:val="24"/>
          <w:szCs w:val="24"/>
        </w:rPr>
        <w:t xml:space="preserve">Parágrafo único </w:t>
      </w:r>
      <w:r w:rsidRPr="00096994">
        <w:rPr>
          <w:rFonts w:ascii="Times New Roman" w:hAnsi="Times New Roman"/>
          <w:color w:val="404040"/>
          <w:sz w:val="24"/>
          <w:szCs w:val="24"/>
        </w:rPr>
        <w:t>A empresa prestadora do serviço deverá efetuar a limpeza do local onde a caçamba for retirada, deixando a via ou calçada em condições adequadas de uso.</w:t>
      </w:r>
    </w:p>
    <w:p w14:paraId="0ACDD7A4" w14:textId="77777777" w:rsidR="00096994" w:rsidRPr="00096994" w:rsidRDefault="00096994" w:rsidP="00096994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</w:p>
    <w:p w14:paraId="5C85245E" w14:textId="77777777" w:rsidR="00096994" w:rsidRDefault="00096994" w:rsidP="00096994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  <w:r w:rsidRPr="00096994">
        <w:rPr>
          <w:rFonts w:ascii="Times New Roman" w:hAnsi="Times New Roman"/>
          <w:b/>
          <w:color w:val="404040"/>
          <w:sz w:val="24"/>
          <w:szCs w:val="24"/>
        </w:rPr>
        <w:t xml:space="preserve">Art. 3º </w:t>
      </w:r>
      <w:r w:rsidRPr="00096994">
        <w:rPr>
          <w:rFonts w:ascii="Times New Roman" w:hAnsi="Times New Roman"/>
          <w:color w:val="404040"/>
          <w:sz w:val="24"/>
          <w:szCs w:val="24"/>
        </w:rPr>
        <w:t>O descumprimento das obrigações previstas nesta Lei acarretará ao infrator as seguintes sanções:</w:t>
      </w:r>
    </w:p>
    <w:p w14:paraId="05FD1EDC" w14:textId="684697D9" w:rsidR="00096994" w:rsidRDefault="00096994" w:rsidP="00096994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  <w:r w:rsidRPr="00096994">
        <w:rPr>
          <w:rFonts w:ascii="Times New Roman" w:hAnsi="Times New Roman"/>
          <w:color w:val="404040"/>
          <w:sz w:val="24"/>
          <w:szCs w:val="24"/>
        </w:rPr>
        <w:br/>
        <w:t>I – Advertência, com notificação para regularização no prazo máximo e improrrogável de 15 (quinze) dias;</w:t>
      </w:r>
      <w:r w:rsidRPr="00096994">
        <w:rPr>
          <w:rFonts w:ascii="Times New Roman" w:hAnsi="Times New Roman"/>
          <w:color w:val="404040"/>
          <w:sz w:val="24"/>
          <w:szCs w:val="24"/>
        </w:rPr>
        <w:br/>
        <w:t>II – Persistindo a irregularidade ou em caso de reincidência, será aplicada multa equivalente a M20 da Lei 2.597/2008;</w:t>
      </w:r>
      <w:r>
        <w:rPr>
          <w:rFonts w:ascii="Times New Roman" w:hAnsi="Times New Roman"/>
          <w:color w:val="404040"/>
          <w:sz w:val="24"/>
          <w:szCs w:val="24"/>
        </w:rPr>
        <w:t xml:space="preserve"> </w:t>
      </w:r>
    </w:p>
    <w:p w14:paraId="360A3EE2" w14:textId="77777777" w:rsidR="00096994" w:rsidRPr="00096994" w:rsidRDefault="00096994" w:rsidP="00096994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</w:p>
    <w:p w14:paraId="37598355" w14:textId="16208E5B" w:rsidR="00096994" w:rsidRDefault="00096994" w:rsidP="00096994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>
        <w:rPr>
          <w:rFonts w:ascii="Times New Roman" w:hAnsi="Times New Roman"/>
          <w:b/>
          <w:color w:val="404040"/>
          <w:sz w:val="24"/>
          <w:szCs w:val="24"/>
        </w:rPr>
        <w:t>Parágrafo único:</w:t>
      </w:r>
      <w:r w:rsidRPr="00096994">
        <w:rPr>
          <w:rFonts w:ascii="Times New Roman" w:hAnsi="Times New Roman"/>
          <w:b/>
          <w:color w:val="404040"/>
          <w:sz w:val="24"/>
          <w:szCs w:val="24"/>
        </w:rPr>
        <w:t xml:space="preserve"> </w:t>
      </w:r>
      <w:r w:rsidRPr="00096994">
        <w:rPr>
          <w:rFonts w:ascii="Times New Roman" w:hAnsi="Times New Roman"/>
          <w:color w:val="404040"/>
          <w:sz w:val="24"/>
          <w:szCs w:val="24"/>
        </w:rPr>
        <w:t>A persistência da infração poderá ensejar a suspensão temporária ou definitiva do alvará de funcionamento da empresa, a critério da autoridade competente.</w:t>
      </w:r>
    </w:p>
    <w:p w14:paraId="292CE359" w14:textId="77777777" w:rsidR="00096994" w:rsidRPr="00096994" w:rsidRDefault="00096994" w:rsidP="00096994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</w:p>
    <w:p w14:paraId="0010143F" w14:textId="77777777" w:rsidR="00096994" w:rsidRDefault="00096994" w:rsidP="00096994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096994">
        <w:rPr>
          <w:rFonts w:ascii="Times New Roman" w:hAnsi="Times New Roman"/>
          <w:b/>
          <w:color w:val="404040"/>
          <w:sz w:val="24"/>
          <w:szCs w:val="24"/>
        </w:rPr>
        <w:t xml:space="preserve">Art. 4º </w:t>
      </w:r>
      <w:r w:rsidRPr="00096994">
        <w:rPr>
          <w:rFonts w:ascii="Times New Roman" w:hAnsi="Times New Roman"/>
          <w:color w:val="404040"/>
          <w:sz w:val="24"/>
          <w:szCs w:val="24"/>
        </w:rPr>
        <w:t>As empresas prestadoras de serviços de locação de caçambas deverão estar previamente cadastradas junto ao órgão municipal competente, sujeitando-se a fiscalização e renovação periódica da autorização.</w:t>
      </w:r>
    </w:p>
    <w:p w14:paraId="09BB4F03" w14:textId="77777777" w:rsidR="00096994" w:rsidRPr="00096994" w:rsidRDefault="00096994" w:rsidP="00096994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</w:p>
    <w:p w14:paraId="03E5697E" w14:textId="77777777" w:rsidR="00096994" w:rsidRDefault="00096994" w:rsidP="00096994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096994">
        <w:rPr>
          <w:rFonts w:ascii="Times New Roman" w:hAnsi="Times New Roman"/>
          <w:b/>
          <w:color w:val="404040"/>
          <w:sz w:val="24"/>
          <w:szCs w:val="24"/>
        </w:rPr>
        <w:t xml:space="preserve">Art. 5º </w:t>
      </w:r>
      <w:r w:rsidRPr="00096994">
        <w:rPr>
          <w:rFonts w:ascii="Times New Roman" w:hAnsi="Times New Roman"/>
          <w:color w:val="404040"/>
          <w:sz w:val="24"/>
          <w:szCs w:val="24"/>
        </w:rPr>
        <w:t>O Poder Executivo poderá, em conjunto com o órgão ambiental competente, incentivar a triagem, reutilização e reciclagem dos resíduos da construção civil, especialmente os classificados como Classe A, conforme a Resolução CONAMA nº 307/2002.</w:t>
      </w:r>
    </w:p>
    <w:p w14:paraId="42784FC2" w14:textId="77777777" w:rsidR="00096994" w:rsidRPr="00096994" w:rsidRDefault="00096994" w:rsidP="00096994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</w:p>
    <w:p w14:paraId="130CA786" w14:textId="77777777" w:rsidR="00096994" w:rsidRDefault="00096994" w:rsidP="00096994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  <w:r w:rsidRPr="00096994">
        <w:rPr>
          <w:rFonts w:ascii="Times New Roman" w:hAnsi="Times New Roman"/>
          <w:b/>
          <w:color w:val="404040"/>
          <w:sz w:val="24"/>
          <w:szCs w:val="24"/>
        </w:rPr>
        <w:lastRenderedPageBreak/>
        <w:t xml:space="preserve">Parágrafo único </w:t>
      </w:r>
      <w:r w:rsidRPr="00096994">
        <w:rPr>
          <w:rFonts w:ascii="Times New Roman" w:hAnsi="Times New Roman"/>
          <w:color w:val="404040"/>
          <w:sz w:val="24"/>
          <w:szCs w:val="24"/>
        </w:rPr>
        <w:t>O Município poderá fomentar a destinação de resíduos recicláveis para unidades públicas ou privadas de reaproveitamento, inclusive com incentivo fiscal.</w:t>
      </w:r>
    </w:p>
    <w:p w14:paraId="28581EC0" w14:textId="77777777" w:rsidR="00096994" w:rsidRPr="00096994" w:rsidRDefault="00096994" w:rsidP="00096994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</w:p>
    <w:p w14:paraId="678368E8" w14:textId="77777777" w:rsidR="00096994" w:rsidRDefault="00096994" w:rsidP="00096994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  <w:r w:rsidRPr="00096994">
        <w:rPr>
          <w:rFonts w:ascii="Times New Roman" w:hAnsi="Times New Roman"/>
          <w:b/>
          <w:color w:val="404040"/>
          <w:sz w:val="24"/>
          <w:szCs w:val="24"/>
        </w:rPr>
        <w:t xml:space="preserve">Art. 6º </w:t>
      </w:r>
      <w:r w:rsidRPr="00096994">
        <w:rPr>
          <w:rFonts w:ascii="Times New Roman" w:hAnsi="Times New Roman"/>
          <w:color w:val="404040"/>
          <w:sz w:val="24"/>
          <w:szCs w:val="24"/>
        </w:rPr>
        <w:t>As empresas terão o prazo de 180 (cento e oitenta) dias para se adequarem às exigências desta Lei, contados da data de sua publicação.</w:t>
      </w:r>
    </w:p>
    <w:p w14:paraId="43D007ED" w14:textId="77777777" w:rsidR="00096994" w:rsidRPr="00096994" w:rsidRDefault="00096994" w:rsidP="00096994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</w:p>
    <w:p w14:paraId="375C80E4" w14:textId="77777777" w:rsidR="00096994" w:rsidRDefault="00096994" w:rsidP="00096994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  <w:r w:rsidRPr="00096994">
        <w:rPr>
          <w:rFonts w:ascii="Times New Roman" w:hAnsi="Times New Roman"/>
          <w:b/>
          <w:color w:val="404040"/>
          <w:sz w:val="24"/>
          <w:szCs w:val="24"/>
        </w:rPr>
        <w:t xml:space="preserve">Art. 7º </w:t>
      </w:r>
      <w:r w:rsidRPr="00096994">
        <w:rPr>
          <w:rFonts w:ascii="Times New Roman" w:hAnsi="Times New Roman"/>
          <w:color w:val="404040"/>
          <w:sz w:val="24"/>
          <w:szCs w:val="24"/>
        </w:rPr>
        <w:t>O Poder Executivo regulamentará esta Lei no que couber, no prazo de 60 (sessenta) dias.</w:t>
      </w:r>
    </w:p>
    <w:p w14:paraId="340028A8" w14:textId="77777777" w:rsidR="00096994" w:rsidRPr="00096994" w:rsidRDefault="00096994" w:rsidP="00096994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</w:p>
    <w:p w14:paraId="72C96EB6" w14:textId="77777777" w:rsidR="00096994" w:rsidRPr="00096994" w:rsidRDefault="00096994" w:rsidP="00096994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  <w:r w:rsidRPr="00096994">
        <w:rPr>
          <w:rFonts w:ascii="Times New Roman" w:hAnsi="Times New Roman"/>
          <w:b/>
          <w:color w:val="404040"/>
          <w:sz w:val="24"/>
          <w:szCs w:val="24"/>
        </w:rPr>
        <w:t xml:space="preserve">Art. 8º </w:t>
      </w:r>
      <w:r w:rsidRPr="00096994">
        <w:rPr>
          <w:rFonts w:ascii="Times New Roman" w:hAnsi="Times New Roman"/>
          <w:color w:val="404040"/>
          <w:sz w:val="24"/>
          <w:szCs w:val="24"/>
        </w:rPr>
        <w:t>Esta Lei entra em vigor na data de sua publicação.</w:t>
      </w:r>
    </w:p>
    <w:p w14:paraId="56F394FF" w14:textId="34A92BB0" w:rsidR="0084429E" w:rsidRDefault="0084429E" w:rsidP="00096994">
      <w:pPr>
        <w:pStyle w:val="NormalWeb"/>
        <w:spacing w:before="2" w:after="2" w:line="360" w:lineRule="auto"/>
        <w:jc w:val="both"/>
        <w:rPr>
          <w:rFonts w:ascii="Times New Roman" w:hAnsi="Times New Roman"/>
          <w:bCs/>
          <w:color w:val="404040"/>
          <w:sz w:val="24"/>
          <w:szCs w:val="24"/>
        </w:rPr>
      </w:pPr>
    </w:p>
    <w:p w14:paraId="59A7D79F" w14:textId="2770909B" w:rsidR="00C44FE1" w:rsidRPr="00A46946" w:rsidRDefault="00C44FE1" w:rsidP="00D900C5">
      <w:pPr>
        <w:pStyle w:val="NormalWeb"/>
        <w:spacing w:before="2" w:after="2" w:line="429" w:lineRule="atLeast"/>
        <w:ind w:left="5664" w:firstLine="708"/>
        <w:rPr>
          <w:rFonts w:ascii="Times New Roman" w:hAnsi="Times New Roman"/>
          <w:bCs/>
          <w:color w:val="404040"/>
          <w:sz w:val="24"/>
          <w:szCs w:val="24"/>
        </w:rPr>
      </w:pPr>
      <w:r w:rsidRPr="00A46946">
        <w:rPr>
          <w:rFonts w:ascii="Times New Roman" w:hAnsi="Times New Roman"/>
          <w:bCs/>
          <w:color w:val="404040"/>
          <w:sz w:val="24"/>
          <w:szCs w:val="24"/>
        </w:rPr>
        <w:t>Niterói,</w:t>
      </w:r>
      <w:r w:rsidR="00096994">
        <w:rPr>
          <w:rFonts w:ascii="Times New Roman" w:hAnsi="Times New Roman"/>
          <w:bCs/>
          <w:color w:val="404040"/>
          <w:sz w:val="24"/>
          <w:szCs w:val="24"/>
        </w:rPr>
        <w:t xml:space="preserve"> 09</w:t>
      </w:r>
      <w:r w:rsidR="00D900C5">
        <w:rPr>
          <w:rFonts w:ascii="Times New Roman" w:hAnsi="Times New Roman"/>
          <w:bCs/>
          <w:color w:val="404040"/>
          <w:sz w:val="24"/>
          <w:szCs w:val="24"/>
        </w:rPr>
        <w:t xml:space="preserve"> </w:t>
      </w:r>
      <w:r w:rsidRPr="00A46946">
        <w:rPr>
          <w:rFonts w:ascii="Times New Roman" w:hAnsi="Times New Roman"/>
          <w:bCs/>
          <w:color w:val="404040"/>
          <w:sz w:val="24"/>
          <w:szCs w:val="24"/>
        </w:rPr>
        <w:t xml:space="preserve">de </w:t>
      </w:r>
      <w:r w:rsidR="00096994">
        <w:rPr>
          <w:rFonts w:ascii="Times New Roman" w:hAnsi="Times New Roman"/>
          <w:bCs/>
          <w:color w:val="404040"/>
          <w:sz w:val="24"/>
          <w:szCs w:val="24"/>
        </w:rPr>
        <w:t>junho</w:t>
      </w:r>
      <w:r w:rsidR="00172E38" w:rsidRPr="00A46946">
        <w:rPr>
          <w:rFonts w:ascii="Times New Roman" w:hAnsi="Times New Roman"/>
          <w:bCs/>
          <w:color w:val="404040"/>
          <w:sz w:val="24"/>
          <w:szCs w:val="24"/>
        </w:rPr>
        <w:t xml:space="preserve"> </w:t>
      </w:r>
      <w:r w:rsidRPr="00A46946">
        <w:rPr>
          <w:rFonts w:ascii="Times New Roman" w:hAnsi="Times New Roman"/>
          <w:bCs/>
          <w:color w:val="404040"/>
          <w:sz w:val="24"/>
          <w:szCs w:val="24"/>
        </w:rPr>
        <w:t>de 2025.</w:t>
      </w:r>
    </w:p>
    <w:p w14:paraId="1707D890" w14:textId="77777777" w:rsidR="00CD7670" w:rsidRDefault="00CD7670" w:rsidP="00C44FE1">
      <w:pPr>
        <w:pStyle w:val="NormalWeb"/>
        <w:spacing w:before="2" w:after="2" w:line="429" w:lineRule="atLeast"/>
        <w:jc w:val="center"/>
        <w:rPr>
          <w:rFonts w:ascii="Times New Roman" w:hAnsi="Times New Roman"/>
          <w:b/>
          <w:color w:val="404040"/>
          <w:sz w:val="24"/>
          <w:szCs w:val="24"/>
        </w:rPr>
      </w:pPr>
    </w:p>
    <w:p w14:paraId="230BD213" w14:textId="77777777" w:rsidR="00172E38" w:rsidRDefault="00172E38" w:rsidP="00C44FE1">
      <w:pPr>
        <w:pStyle w:val="NormalWeb"/>
        <w:spacing w:before="2" w:after="2" w:line="429" w:lineRule="atLeast"/>
        <w:jc w:val="center"/>
        <w:rPr>
          <w:rFonts w:ascii="Times New Roman" w:hAnsi="Times New Roman"/>
          <w:b/>
          <w:color w:val="404040"/>
          <w:sz w:val="24"/>
          <w:szCs w:val="24"/>
        </w:rPr>
      </w:pPr>
    </w:p>
    <w:p w14:paraId="1786DA80" w14:textId="77777777" w:rsidR="00C44FE1" w:rsidRPr="00FC4EF8" w:rsidRDefault="00C44FE1" w:rsidP="00C44FE1">
      <w:pPr>
        <w:pStyle w:val="NormalWeb"/>
        <w:spacing w:before="2" w:after="2" w:line="429" w:lineRule="atLeast"/>
        <w:jc w:val="center"/>
        <w:rPr>
          <w:rFonts w:ascii="Times New Roman" w:hAnsi="Times New Roman"/>
          <w:b/>
          <w:color w:val="404040"/>
          <w:sz w:val="24"/>
          <w:szCs w:val="24"/>
        </w:rPr>
      </w:pPr>
      <w:r w:rsidRPr="00FC4EF8">
        <w:rPr>
          <w:rFonts w:ascii="Times New Roman" w:hAnsi="Times New Roman"/>
          <w:b/>
          <w:color w:val="404040"/>
          <w:sz w:val="24"/>
          <w:szCs w:val="24"/>
        </w:rPr>
        <w:t>Leandro Portugal</w:t>
      </w:r>
    </w:p>
    <w:p w14:paraId="2B7931CC" w14:textId="77777777" w:rsidR="00C60C2B" w:rsidRPr="001F5C9D" w:rsidRDefault="00C44FE1" w:rsidP="001F5C9D">
      <w:pPr>
        <w:pStyle w:val="NormalWeb"/>
        <w:spacing w:before="2" w:after="2" w:line="429" w:lineRule="atLeast"/>
        <w:jc w:val="center"/>
        <w:rPr>
          <w:rFonts w:ascii="Times New Roman" w:hAnsi="Times New Roman"/>
          <w:b/>
          <w:color w:val="404040"/>
          <w:sz w:val="24"/>
          <w:szCs w:val="24"/>
        </w:rPr>
      </w:pPr>
      <w:r w:rsidRPr="00FC4EF8">
        <w:rPr>
          <w:rFonts w:ascii="Times New Roman" w:hAnsi="Times New Roman"/>
          <w:b/>
          <w:color w:val="404040"/>
          <w:sz w:val="24"/>
          <w:szCs w:val="24"/>
        </w:rPr>
        <w:t>Vereador</w:t>
      </w:r>
    </w:p>
    <w:p w14:paraId="63783C05" w14:textId="77777777" w:rsidR="00C44FE1" w:rsidRPr="00C44FE1" w:rsidRDefault="00C44FE1" w:rsidP="00C44FE1">
      <w:pPr>
        <w:pStyle w:val="Ttulo3"/>
        <w:spacing w:before="274" w:after="206"/>
        <w:jc w:val="both"/>
        <w:rPr>
          <w:b w:val="0"/>
          <w:bCs w:val="0"/>
          <w:color w:val="404040"/>
        </w:rPr>
      </w:pPr>
      <w:r w:rsidRPr="00C44FE1">
        <w:rPr>
          <w:rStyle w:val="Forte"/>
          <w:b/>
          <w:bCs/>
          <w:color w:val="404040"/>
        </w:rPr>
        <w:t>Justificativa</w:t>
      </w:r>
      <w:r>
        <w:rPr>
          <w:rStyle w:val="Forte"/>
          <w:b/>
          <w:bCs/>
          <w:color w:val="404040"/>
        </w:rPr>
        <w:t>:</w:t>
      </w:r>
    </w:p>
    <w:p w14:paraId="3CBC534C" w14:textId="77777777" w:rsidR="00096994" w:rsidRPr="00096994" w:rsidRDefault="00096994" w:rsidP="00096994">
      <w:pPr>
        <w:pStyle w:val="NormalWeb"/>
        <w:spacing w:before="2" w:after="2" w:line="429" w:lineRule="atLeast"/>
        <w:rPr>
          <w:rFonts w:ascii="Times New Roman" w:hAnsi="Times New Roman"/>
          <w:color w:val="404040"/>
          <w:sz w:val="24"/>
          <w:szCs w:val="24"/>
        </w:rPr>
      </w:pPr>
      <w:r w:rsidRPr="00096994">
        <w:rPr>
          <w:rFonts w:ascii="Times New Roman" w:hAnsi="Times New Roman"/>
          <w:color w:val="404040"/>
          <w:sz w:val="24"/>
          <w:szCs w:val="24"/>
        </w:rPr>
        <w:t>A presente proposição tem como objetivo promover a segurança urbana, a conservação das vias públicas e a sustentabilidade ambiental, por meio da regulamentação do uso de caçambas estacionárias no Município de Niterói.</w:t>
      </w:r>
      <w:r w:rsidRPr="00096994">
        <w:rPr>
          <w:rFonts w:ascii="Times New Roman" w:hAnsi="Times New Roman"/>
          <w:color w:val="404040"/>
          <w:sz w:val="24"/>
          <w:szCs w:val="24"/>
        </w:rPr>
        <w:br/>
      </w:r>
      <w:r w:rsidRPr="00096994">
        <w:rPr>
          <w:rFonts w:ascii="Times New Roman" w:hAnsi="Times New Roman"/>
          <w:color w:val="404040"/>
          <w:sz w:val="24"/>
          <w:szCs w:val="24"/>
        </w:rPr>
        <w:br/>
        <w:t>É comum verificar, em diversas regiões da cidade, caçambas mal posicionadas, destampadas ou com resíduos lançados irregularmente nas vias, gerando riscos ao trânsito, à saúde pública e ao meio ambiente. A falta de padronização e identificação também dificulta a fiscalização e o controle por parte dos órgãos competentes.</w:t>
      </w:r>
      <w:r w:rsidRPr="00096994">
        <w:rPr>
          <w:rFonts w:ascii="Times New Roman" w:hAnsi="Times New Roman"/>
          <w:color w:val="404040"/>
          <w:sz w:val="24"/>
          <w:szCs w:val="24"/>
        </w:rPr>
        <w:br/>
      </w:r>
      <w:r w:rsidRPr="00096994">
        <w:rPr>
          <w:rFonts w:ascii="Times New Roman" w:hAnsi="Times New Roman"/>
          <w:color w:val="404040"/>
          <w:sz w:val="24"/>
          <w:szCs w:val="24"/>
        </w:rPr>
        <w:br/>
        <w:t>Com base em legislações de referência adotadas por outras cidades, esta proposta avança ao exigir:</w:t>
      </w:r>
      <w:r w:rsidRPr="00096994">
        <w:rPr>
          <w:rFonts w:ascii="Times New Roman" w:hAnsi="Times New Roman"/>
          <w:color w:val="404040"/>
          <w:sz w:val="24"/>
          <w:szCs w:val="24"/>
        </w:rPr>
        <w:br/>
        <w:t>- Dispositivo de cobertura obrigatória, que evita o espalhamento de entulho;</w:t>
      </w:r>
      <w:r w:rsidRPr="00096994">
        <w:rPr>
          <w:rFonts w:ascii="Times New Roman" w:hAnsi="Times New Roman"/>
          <w:color w:val="404040"/>
          <w:sz w:val="24"/>
          <w:szCs w:val="24"/>
        </w:rPr>
        <w:br/>
      </w:r>
      <w:r w:rsidRPr="00096994">
        <w:rPr>
          <w:rFonts w:ascii="Times New Roman" w:hAnsi="Times New Roman"/>
          <w:color w:val="404040"/>
          <w:sz w:val="24"/>
          <w:szCs w:val="24"/>
        </w:rPr>
        <w:lastRenderedPageBreak/>
        <w:t>- Pintura padronizada, faixas refletivas e identificação visível das caçambas;</w:t>
      </w:r>
      <w:r w:rsidRPr="00096994">
        <w:rPr>
          <w:rFonts w:ascii="Times New Roman" w:hAnsi="Times New Roman"/>
          <w:color w:val="404040"/>
          <w:sz w:val="24"/>
          <w:szCs w:val="24"/>
        </w:rPr>
        <w:br/>
        <w:t>- Posicionamento correto e tempo máximo de permanência, para minimizar impactos ao tráfego e aos pedestres;</w:t>
      </w:r>
      <w:r w:rsidRPr="00096994">
        <w:rPr>
          <w:rFonts w:ascii="Times New Roman" w:hAnsi="Times New Roman"/>
          <w:color w:val="404040"/>
          <w:sz w:val="24"/>
          <w:szCs w:val="24"/>
        </w:rPr>
        <w:br/>
        <w:t>- Cadastro e licenciamento das empresas, assegurando a legalidade da operação;</w:t>
      </w:r>
      <w:r w:rsidRPr="00096994">
        <w:rPr>
          <w:rFonts w:ascii="Times New Roman" w:hAnsi="Times New Roman"/>
          <w:color w:val="404040"/>
          <w:sz w:val="24"/>
          <w:szCs w:val="24"/>
        </w:rPr>
        <w:br/>
        <w:t>- Incentivos à reciclagem e reutilização de resíduos, em linha com a Política Nacional de Resíduos Sólidos (Lei nº 12.305/2010).</w:t>
      </w:r>
      <w:r w:rsidRPr="00096994">
        <w:rPr>
          <w:rFonts w:ascii="Times New Roman" w:hAnsi="Times New Roman"/>
          <w:color w:val="404040"/>
          <w:sz w:val="24"/>
          <w:szCs w:val="24"/>
        </w:rPr>
        <w:br/>
      </w:r>
      <w:r w:rsidRPr="00096994">
        <w:rPr>
          <w:rFonts w:ascii="Times New Roman" w:hAnsi="Times New Roman"/>
          <w:color w:val="404040"/>
          <w:sz w:val="24"/>
          <w:szCs w:val="24"/>
        </w:rPr>
        <w:br/>
        <w:t>A medida fortalece a atuação do Município no ordenamento do espaço urbano e estimula a responsabilidade compartilhada na gestão de resíduos da construção civil.</w:t>
      </w:r>
      <w:r w:rsidRPr="00096994">
        <w:rPr>
          <w:rFonts w:ascii="Times New Roman" w:hAnsi="Times New Roman"/>
          <w:color w:val="404040"/>
          <w:sz w:val="24"/>
          <w:szCs w:val="24"/>
        </w:rPr>
        <w:br/>
      </w:r>
      <w:r w:rsidRPr="00096994">
        <w:rPr>
          <w:rFonts w:ascii="Times New Roman" w:hAnsi="Times New Roman"/>
          <w:color w:val="404040"/>
          <w:sz w:val="24"/>
          <w:szCs w:val="24"/>
        </w:rPr>
        <w:br/>
        <w:t>Conto com o apoio dos(as) nobres pares para a aprovação desta relevante iniciativa legislativa.</w:t>
      </w:r>
    </w:p>
    <w:p w14:paraId="0D0F6AF7" w14:textId="77777777" w:rsidR="00AC41A7" w:rsidRDefault="00AC41A7" w:rsidP="00D900C5">
      <w:pPr>
        <w:pStyle w:val="NormalWeb"/>
        <w:spacing w:before="2" w:after="2" w:line="429" w:lineRule="atLeast"/>
        <w:jc w:val="both"/>
        <w:rPr>
          <w:rFonts w:ascii="Times New Roman" w:hAnsi="Times New Roman"/>
          <w:color w:val="404040"/>
          <w:sz w:val="24"/>
          <w:szCs w:val="24"/>
        </w:rPr>
      </w:pPr>
    </w:p>
    <w:p w14:paraId="23873652" w14:textId="7C123D4C" w:rsidR="001F5C9D" w:rsidRPr="001F5C9D" w:rsidRDefault="001F5C9D" w:rsidP="00AC41A7">
      <w:pPr>
        <w:pStyle w:val="NormalWeb"/>
        <w:spacing w:before="2" w:after="2" w:line="429" w:lineRule="atLeast"/>
        <w:ind w:firstLine="708"/>
        <w:jc w:val="both"/>
        <w:rPr>
          <w:rFonts w:ascii="Times New Roman" w:hAnsi="Times New Roman"/>
          <w:color w:val="404040"/>
          <w:sz w:val="24"/>
          <w:szCs w:val="24"/>
        </w:rPr>
      </w:pPr>
    </w:p>
    <w:p w14:paraId="153B9EEC" w14:textId="77777777" w:rsidR="00D4733D" w:rsidRPr="00D4733D" w:rsidRDefault="00D4733D" w:rsidP="001F5C9D">
      <w:pPr>
        <w:pStyle w:val="NormalWeb"/>
        <w:spacing w:before="2" w:after="2" w:line="429" w:lineRule="atLeast"/>
        <w:ind w:firstLine="708"/>
        <w:jc w:val="both"/>
        <w:rPr>
          <w:rFonts w:ascii="Times New Roman" w:hAnsi="Times New Roman"/>
          <w:b/>
          <w:bCs/>
          <w:sz w:val="36"/>
          <w:szCs w:val="36"/>
        </w:rPr>
      </w:pPr>
    </w:p>
    <w:sectPr w:rsidR="00D4733D" w:rsidRPr="00D4733D" w:rsidSect="001E695F">
      <w:headerReference w:type="default" r:id="rId7"/>
      <w:footerReference w:type="default" r:id="rId8"/>
      <w:pgSz w:w="11906" w:h="16838"/>
      <w:pgMar w:top="1681" w:right="70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4A889" w14:textId="77777777" w:rsidR="0007097F" w:rsidRDefault="0007097F" w:rsidP="00741911">
      <w:pPr>
        <w:spacing w:after="0" w:line="240" w:lineRule="auto"/>
      </w:pPr>
      <w:r>
        <w:separator/>
      </w:r>
    </w:p>
  </w:endnote>
  <w:endnote w:type="continuationSeparator" w:id="0">
    <w:p w14:paraId="5B1D11DB" w14:textId="77777777" w:rsidR="0007097F" w:rsidRDefault="0007097F" w:rsidP="00741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panose1 w:val="00000000000000000000"/>
    <w:charset w:val="00"/>
    <w:family w:val="roman"/>
    <w:notTrueType/>
    <w:pitch w:val="default"/>
  </w:font>
  <w:font w:name="UICTFontTextStyleBody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B8E09" w14:textId="77777777" w:rsidR="005A14CD" w:rsidRPr="005A1EBF" w:rsidRDefault="005A14CD" w:rsidP="00741911">
    <w:pPr>
      <w:tabs>
        <w:tab w:val="left" w:pos="6394"/>
      </w:tabs>
      <w:spacing w:after="0" w:line="360" w:lineRule="auto"/>
      <w:jc w:val="center"/>
      <w:rPr>
        <w:rFonts w:ascii="Times New Roman" w:hAnsi="Times New Roman" w:cs="Arial"/>
        <w:sz w:val="20"/>
        <w:szCs w:val="24"/>
      </w:rPr>
    </w:pPr>
    <w:r w:rsidRPr="005A1EBF">
      <w:rPr>
        <w:rFonts w:ascii="Times New Roman" w:hAnsi="Times New Roman" w:cs="Arial"/>
        <w:sz w:val="20"/>
        <w:szCs w:val="24"/>
      </w:rPr>
      <w:t>Av. Ernani do Amaral Peixoto, 625 - Centro - Niterói- RJ – CEP: 24030-070 - Tel. (21) 2620-0196</w:t>
    </w:r>
  </w:p>
  <w:p w14:paraId="0A34AF90" w14:textId="77777777" w:rsidR="005A14CD" w:rsidRDefault="005A14C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98506" w14:textId="77777777" w:rsidR="0007097F" w:rsidRDefault="0007097F" w:rsidP="00741911">
      <w:pPr>
        <w:spacing w:after="0" w:line="240" w:lineRule="auto"/>
      </w:pPr>
      <w:r>
        <w:separator/>
      </w:r>
    </w:p>
  </w:footnote>
  <w:footnote w:type="continuationSeparator" w:id="0">
    <w:p w14:paraId="78B15BEA" w14:textId="77777777" w:rsidR="0007097F" w:rsidRDefault="0007097F" w:rsidP="007419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5ABE6" w14:textId="77777777" w:rsidR="005A14CD" w:rsidRDefault="005A14CD" w:rsidP="00813DB7">
    <w:pPr>
      <w:spacing w:after="0" w:line="360" w:lineRule="auto"/>
      <w:jc w:val="center"/>
      <w:rPr>
        <w:rFonts w:ascii="Times New Roman" w:hAnsi="Times New Roman" w:cs="Arial"/>
        <w:lang w:val="en-US"/>
      </w:rPr>
    </w:pPr>
    <w:r w:rsidRPr="005A14CD">
      <w:rPr>
        <w:rFonts w:ascii="Times New Roman" w:hAnsi="Times New Roman" w:cs="Arial"/>
        <w:noProof/>
        <w:lang w:eastAsia="pt-BR"/>
      </w:rPr>
      <w:drawing>
        <wp:inline distT="0" distB="0" distL="0" distR="0" wp14:anchorId="73C03400" wp14:editId="2F97E1BB">
          <wp:extent cx="587053" cy="731520"/>
          <wp:effectExtent l="0" t="0" r="381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220" cy="734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3052B9" w14:textId="77777777" w:rsidR="007220FD" w:rsidRPr="00FC249B" w:rsidRDefault="007220FD" w:rsidP="00813DB7">
    <w:pPr>
      <w:spacing w:after="0" w:line="360" w:lineRule="auto"/>
      <w:jc w:val="center"/>
      <w:rPr>
        <w:rFonts w:ascii="Times New Roman" w:hAnsi="Times New Roman" w:cs="Arial"/>
        <w:b/>
        <w:bCs/>
      </w:rPr>
    </w:pPr>
    <w:r w:rsidRPr="00FC249B">
      <w:rPr>
        <w:rFonts w:ascii="Times New Roman" w:hAnsi="Times New Roman" w:cs="Arial"/>
        <w:b/>
        <w:bCs/>
      </w:rPr>
      <w:t>PODER LEGISLATIVO</w:t>
    </w:r>
  </w:p>
  <w:p w14:paraId="1AE25794" w14:textId="77777777" w:rsidR="005A14CD" w:rsidRPr="005A14CD" w:rsidRDefault="005A14CD" w:rsidP="00813DB7">
    <w:pPr>
      <w:spacing w:after="0" w:line="360" w:lineRule="auto"/>
      <w:jc w:val="center"/>
      <w:rPr>
        <w:rFonts w:ascii="Times New Roman" w:hAnsi="Times New Roman" w:cs="Arial"/>
        <w:b/>
        <w:bCs/>
        <w:szCs w:val="24"/>
      </w:rPr>
    </w:pPr>
    <w:r w:rsidRPr="005A14CD">
      <w:rPr>
        <w:rFonts w:ascii="Times New Roman" w:hAnsi="Times New Roman" w:cs="Arial"/>
        <w:b/>
        <w:bCs/>
        <w:szCs w:val="24"/>
      </w:rPr>
      <w:t>CÂMARA MUNICIPAL DE NITERÓI</w:t>
    </w:r>
  </w:p>
  <w:p w14:paraId="78469078" w14:textId="77777777" w:rsidR="00A83054" w:rsidRPr="007220FD" w:rsidRDefault="007220FD" w:rsidP="00813DB7">
    <w:pPr>
      <w:spacing w:after="0" w:line="360" w:lineRule="auto"/>
      <w:jc w:val="center"/>
      <w:rPr>
        <w:rFonts w:ascii="Times New Roman" w:hAnsi="Times New Roman"/>
        <w:b/>
        <w:bCs/>
      </w:rPr>
    </w:pPr>
    <w:r w:rsidRPr="007220FD">
      <w:rPr>
        <w:rFonts w:ascii="Times New Roman" w:hAnsi="Times New Roman"/>
        <w:b/>
        <w:bCs/>
      </w:rPr>
      <w:t>Gabinete do Vereador Leandro Portugal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CE54DFF"/>
    <w:multiLevelType w:val="multilevel"/>
    <w:tmpl w:val="CC542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ED57CA"/>
    <w:multiLevelType w:val="hybridMultilevel"/>
    <w:tmpl w:val="4ADAF3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335635"/>
    <w:multiLevelType w:val="multilevel"/>
    <w:tmpl w:val="F3C8F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581F04"/>
    <w:multiLevelType w:val="hybridMultilevel"/>
    <w:tmpl w:val="34700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2442693">
    <w:abstractNumId w:val="0"/>
  </w:num>
  <w:num w:numId="2" w16cid:durableId="752505567">
    <w:abstractNumId w:val="4"/>
  </w:num>
  <w:num w:numId="3" w16cid:durableId="643462168">
    <w:abstractNumId w:val="2"/>
  </w:num>
  <w:num w:numId="4" w16cid:durableId="1457136846">
    <w:abstractNumId w:val="3"/>
  </w:num>
  <w:num w:numId="5" w16cid:durableId="1127525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DA5"/>
    <w:rsid w:val="00026198"/>
    <w:rsid w:val="0004389A"/>
    <w:rsid w:val="00054950"/>
    <w:rsid w:val="00064ABB"/>
    <w:rsid w:val="0007097F"/>
    <w:rsid w:val="00073346"/>
    <w:rsid w:val="00093AFE"/>
    <w:rsid w:val="00096994"/>
    <w:rsid w:val="000D52EA"/>
    <w:rsid w:val="00107B95"/>
    <w:rsid w:val="0011416B"/>
    <w:rsid w:val="0011763B"/>
    <w:rsid w:val="00117DD8"/>
    <w:rsid w:val="001477B8"/>
    <w:rsid w:val="00153DE2"/>
    <w:rsid w:val="001553C4"/>
    <w:rsid w:val="00166948"/>
    <w:rsid w:val="00172E38"/>
    <w:rsid w:val="001843F0"/>
    <w:rsid w:val="00192B20"/>
    <w:rsid w:val="001A48CB"/>
    <w:rsid w:val="001B377C"/>
    <w:rsid w:val="001C071B"/>
    <w:rsid w:val="001D2191"/>
    <w:rsid w:val="001E695F"/>
    <w:rsid w:val="001F3EEE"/>
    <w:rsid w:val="001F5C9D"/>
    <w:rsid w:val="002049A5"/>
    <w:rsid w:val="002110B1"/>
    <w:rsid w:val="00250209"/>
    <w:rsid w:val="002635B6"/>
    <w:rsid w:val="00264DEB"/>
    <w:rsid w:val="0028147C"/>
    <w:rsid w:val="002A19F9"/>
    <w:rsid w:val="002C06F8"/>
    <w:rsid w:val="002F31A2"/>
    <w:rsid w:val="0032712C"/>
    <w:rsid w:val="0033243A"/>
    <w:rsid w:val="0034642D"/>
    <w:rsid w:val="00351B6D"/>
    <w:rsid w:val="00370421"/>
    <w:rsid w:val="003A76CE"/>
    <w:rsid w:val="003B2677"/>
    <w:rsid w:val="003C2100"/>
    <w:rsid w:val="003D265A"/>
    <w:rsid w:val="004007F2"/>
    <w:rsid w:val="0041247A"/>
    <w:rsid w:val="004230F0"/>
    <w:rsid w:val="00427B1C"/>
    <w:rsid w:val="00437C65"/>
    <w:rsid w:val="004720B4"/>
    <w:rsid w:val="00493301"/>
    <w:rsid w:val="004C71AD"/>
    <w:rsid w:val="0056182E"/>
    <w:rsid w:val="0056388A"/>
    <w:rsid w:val="0059365F"/>
    <w:rsid w:val="005A14CD"/>
    <w:rsid w:val="005A1EBF"/>
    <w:rsid w:val="005A583F"/>
    <w:rsid w:val="005C2CDB"/>
    <w:rsid w:val="005E530E"/>
    <w:rsid w:val="00612A23"/>
    <w:rsid w:val="00627E38"/>
    <w:rsid w:val="006340E2"/>
    <w:rsid w:val="0064477A"/>
    <w:rsid w:val="00663242"/>
    <w:rsid w:val="006742B7"/>
    <w:rsid w:val="00674F87"/>
    <w:rsid w:val="0068687A"/>
    <w:rsid w:val="00690743"/>
    <w:rsid w:val="006C3365"/>
    <w:rsid w:val="006D0ED9"/>
    <w:rsid w:val="006D4AE1"/>
    <w:rsid w:val="006E16C5"/>
    <w:rsid w:val="006E4AC8"/>
    <w:rsid w:val="006F1DC4"/>
    <w:rsid w:val="006F5ABA"/>
    <w:rsid w:val="00700349"/>
    <w:rsid w:val="00700E6F"/>
    <w:rsid w:val="00714825"/>
    <w:rsid w:val="007220FD"/>
    <w:rsid w:val="00741911"/>
    <w:rsid w:val="007467AC"/>
    <w:rsid w:val="00795991"/>
    <w:rsid w:val="007A5FB2"/>
    <w:rsid w:val="007D01DB"/>
    <w:rsid w:val="007E0CA8"/>
    <w:rsid w:val="007F6AC0"/>
    <w:rsid w:val="00813DB7"/>
    <w:rsid w:val="008173DF"/>
    <w:rsid w:val="008277D6"/>
    <w:rsid w:val="00834B6F"/>
    <w:rsid w:val="0084429E"/>
    <w:rsid w:val="008607B1"/>
    <w:rsid w:val="00880EEA"/>
    <w:rsid w:val="008A5B7D"/>
    <w:rsid w:val="008B25E1"/>
    <w:rsid w:val="008C2D3D"/>
    <w:rsid w:val="008E3075"/>
    <w:rsid w:val="008F41A7"/>
    <w:rsid w:val="008F5D45"/>
    <w:rsid w:val="009319A1"/>
    <w:rsid w:val="00932DD5"/>
    <w:rsid w:val="00971716"/>
    <w:rsid w:val="00980C06"/>
    <w:rsid w:val="00986ED3"/>
    <w:rsid w:val="00990AF5"/>
    <w:rsid w:val="009A1EB6"/>
    <w:rsid w:val="009B2DBA"/>
    <w:rsid w:val="009D16CA"/>
    <w:rsid w:val="009E769C"/>
    <w:rsid w:val="009F67EA"/>
    <w:rsid w:val="00A1389C"/>
    <w:rsid w:val="00A206F0"/>
    <w:rsid w:val="00A34105"/>
    <w:rsid w:val="00A44A5A"/>
    <w:rsid w:val="00A46946"/>
    <w:rsid w:val="00A83054"/>
    <w:rsid w:val="00A9223C"/>
    <w:rsid w:val="00AA23DC"/>
    <w:rsid w:val="00AB44B9"/>
    <w:rsid w:val="00AB5A24"/>
    <w:rsid w:val="00AB722D"/>
    <w:rsid w:val="00AB7FCC"/>
    <w:rsid w:val="00AC41A7"/>
    <w:rsid w:val="00AE5600"/>
    <w:rsid w:val="00AF0271"/>
    <w:rsid w:val="00AF36A7"/>
    <w:rsid w:val="00B05A1D"/>
    <w:rsid w:val="00B259C7"/>
    <w:rsid w:val="00B3198C"/>
    <w:rsid w:val="00B463DE"/>
    <w:rsid w:val="00B46EE9"/>
    <w:rsid w:val="00B47E01"/>
    <w:rsid w:val="00B5151F"/>
    <w:rsid w:val="00B519C7"/>
    <w:rsid w:val="00B52196"/>
    <w:rsid w:val="00B52A37"/>
    <w:rsid w:val="00B53CC6"/>
    <w:rsid w:val="00B548DA"/>
    <w:rsid w:val="00B66F25"/>
    <w:rsid w:val="00B85A75"/>
    <w:rsid w:val="00B926FB"/>
    <w:rsid w:val="00BB28FD"/>
    <w:rsid w:val="00BE0A12"/>
    <w:rsid w:val="00C20B58"/>
    <w:rsid w:val="00C44FE1"/>
    <w:rsid w:val="00C503EC"/>
    <w:rsid w:val="00C60C2B"/>
    <w:rsid w:val="00C825BB"/>
    <w:rsid w:val="00C86797"/>
    <w:rsid w:val="00C95F5F"/>
    <w:rsid w:val="00CD7670"/>
    <w:rsid w:val="00CE127F"/>
    <w:rsid w:val="00CE78F0"/>
    <w:rsid w:val="00D018E2"/>
    <w:rsid w:val="00D04394"/>
    <w:rsid w:val="00D448EF"/>
    <w:rsid w:val="00D4733D"/>
    <w:rsid w:val="00D540C8"/>
    <w:rsid w:val="00D54D72"/>
    <w:rsid w:val="00D6550E"/>
    <w:rsid w:val="00D72632"/>
    <w:rsid w:val="00D747E4"/>
    <w:rsid w:val="00D900C5"/>
    <w:rsid w:val="00D9666D"/>
    <w:rsid w:val="00DA33D5"/>
    <w:rsid w:val="00DA6A7C"/>
    <w:rsid w:val="00DD74DF"/>
    <w:rsid w:val="00E01B94"/>
    <w:rsid w:val="00E037A4"/>
    <w:rsid w:val="00E27BE9"/>
    <w:rsid w:val="00E65086"/>
    <w:rsid w:val="00E6774A"/>
    <w:rsid w:val="00E9561F"/>
    <w:rsid w:val="00EA10DC"/>
    <w:rsid w:val="00EA65C2"/>
    <w:rsid w:val="00EA7607"/>
    <w:rsid w:val="00EA7DA5"/>
    <w:rsid w:val="00EB3BBE"/>
    <w:rsid w:val="00EB7642"/>
    <w:rsid w:val="00ED0983"/>
    <w:rsid w:val="00EF644A"/>
    <w:rsid w:val="00EF70C3"/>
    <w:rsid w:val="00F061DE"/>
    <w:rsid w:val="00F323C3"/>
    <w:rsid w:val="00F439C0"/>
    <w:rsid w:val="00F55591"/>
    <w:rsid w:val="00F61082"/>
    <w:rsid w:val="00F66BB9"/>
    <w:rsid w:val="00FA3434"/>
    <w:rsid w:val="00FB3383"/>
    <w:rsid w:val="00FC249B"/>
    <w:rsid w:val="00FC37A2"/>
    <w:rsid w:val="00FC4EF8"/>
    <w:rsid w:val="00FE4B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F370D"/>
  <w15:docId w15:val="{3499FF33-2701-4187-9E37-367C7CC82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35B6"/>
    <w:pPr>
      <w:spacing w:after="200" w:line="276" w:lineRule="auto"/>
    </w:pPr>
    <w:rPr>
      <w:rFonts w:cs="Calibri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4720B4"/>
    <w:pPr>
      <w:keepNext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9"/>
    <w:qFormat/>
    <w:rsid w:val="004720B4"/>
    <w:pPr>
      <w:keepNext/>
      <w:tabs>
        <w:tab w:val="num" w:pos="576"/>
      </w:tabs>
      <w:suppressAutoHyphens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3">
    <w:name w:val="heading 3"/>
    <w:basedOn w:val="Normal"/>
    <w:next w:val="Normal"/>
    <w:link w:val="Ttulo3Char"/>
    <w:uiPriority w:val="99"/>
    <w:qFormat/>
    <w:rsid w:val="004720B4"/>
    <w:pPr>
      <w:keepNext/>
      <w:tabs>
        <w:tab w:val="num" w:pos="720"/>
      </w:tabs>
      <w:suppressAutoHyphens/>
      <w:spacing w:after="0" w:line="240" w:lineRule="auto"/>
      <w:ind w:left="720" w:hanging="720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4720B4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Ttulo2Char">
    <w:name w:val="Título 2 Char"/>
    <w:basedOn w:val="Fontepargpadro"/>
    <w:link w:val="Ttulo2"/>
    <w:uiPriority w:val="99"/>
    <w:locked/>
    <w:rsid w:val="004720B4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Ttulo3Char">
    <w:name w:val="Título 3 Char"/>
    <w:basedOn w:val="Fontepargpadro"/>
    <w:link w:val="Ttulo3"/>
    <w:uiPriority w:val="99"/>
    <w:locked/>
    <w:rsid w:val="004720B4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paragraph" w:styleId="Textodebalo">
    <w:name w:val="Balloon Text"/>
    <w:basedOn w:val="Normal"/>
    <w:link w:val="TextodebaloChar"/>
    <w:uiPriority w:val="99"/>
    <w:semiHidden/>
    <w:rsid w:val="00EA7D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EA7DA5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rsid w:val="004720B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4720B4"/>
    <w:rPr>
      <w:rFonts w:ascii="Times New Roman" w:hAnsi="Times New Roman" w:cs="Times New Roman"/>
      <w:sz w:val="24"/>
      <w:szCs w:val="24"/>
      <w:lang w:eastAsia="ar-SA" w:bidi="ar-SA"/>
    </w:rPr>
  </w:style>
  <w:style w:type="paragraph" w:styleId="Cabealho">
    <w:name w:val="header"/>
    <w:basedOn w:val="Normal"/>
    <w:link w:val="CabealhoChar"/>
    <w:uiPriority w:val="99"/>
    <w:unhideWhenUsed/>
    <w:rsid w:val="007419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1911"/>
    <w:rPr>
      <w:rFonts w:cs="Calibri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7419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1911"/>
    <w:rPr>
      <w:rFonts w:cs="Calibri"/>
      <w:lang w:eastAsia="en-US"/>
    </w:rPr>
  </w:style>
  <w:style w:type="paragraph" w:styleId="PargrafodaLista">
    <w:name w:val="List Paragraph"/>
    <w:basedOn w:val="Normal"/>
    <w:uiPriority w:val="34"/>
    <w:qFormat/>
    <w:rsid w:val="00986ED3"/>
    <w:pPr>
      <w:ind w:left="720"/>
      <w:contextualSpacing/>
    </w:pPr>
  </w:style>
  <w:style w:type="paragraph" w:styleId="NormalWeb">
    <w:name w:val="Normal (Web)"/>
    <w:basedOn w:val="Normal"/>
    <w:uiPriority w:val="99"/>
    <w:rsid w:val="00813DB7"/>
    <w:pPr>
      <w:spacing w:beforeLines="1" w:afterLines="1" w:line="240" w:lineRule="auto"/>
    </w:pPr>
    <w:rPr>
      <w:rFonts w:ascii="Times" w:hAnsi="Times" w:cs="Times New Roman"/>
      <w:sz w:val="20"/>
      <w:szCs w:val="20"/>
    </w:rPr>
  </w:style>
  <w:style w:type="character" w:styleId="nfase">
    <w:name w:val="Emphasis"/>
    <w:basedOn w:val="Fontepargpadro"/>
    <w:uiPriority w:val="20"/>
    <w:qFormat/>
    <w:rsid w:val="005C2CDB"/>
    <w:rPr>
      <w:i/>
      <w:iCs/>
    </w:rPr>
  </w:style>
  <w:style w:type="paragraph" w:customStyle="1" w:styleId="p1">
    <w:name w:val="p1"/>
    <w:basedOn w:val="Normal"/>
    <w:rsid w:val="007A5FB2"/>
    <w:pPr>
      <w:spacing w:after="0" w:line="240" w:lineRule="auto"/>
    </w:pPr>
    <w:rPr>
      <w:rFonts w:ascii=".AppleSystemUIFont" w:eastAsia="Times New Roman" w:hAnsi=".AppleSystemUIFont" w:cs="Times New Roman"/>
      <w:sz w:val="32"/>
      <w:szCs w:val="32"/>
      <w:lang w:eastAsia="pt-BR"/>
    </w:rPr>
  </w:style>
  <w:style w:type="character" w:customStyle="1" w:styleId="s1">
    <w:name w:val="s1"/>
    <w:basedOn w:val="Fontepargpadro"/>
    <w:rsid w:val="007A5FB2"/>
    <w:rPr>
      <w:rFonts w:ascii="UICTFontTextStyleBody" w:hAnsi="UICTFontTextStyleBody" w:hint="default"/>
      <w:b w:val="0"/>
      <w:bCs w:val="0"/>
      <w:i w:val="0"/>
      <w:iCs w:val="0"/>
      <w:sz w:val="32"/>
      <w:szCs w:val="32"/>
    </w:rPr>
  </w:style>
  <w:style w:type="character" w:customStyle="1" w:styleId="apple-converted-space">
    <w:name w:val="apple-converted-space"/>
    <w:basedOn w:val="Fontepargpadro"/>
    <w:rsid w:val="007A5FB2"/>
  </w:style>
  <w:style w:type="character" w:styleId="Forte">
    <w:name w:val="Strong"/>
    <w:uiPriority w:val="22"/>
    <w:qFormat/>
    <w:rsid w:val="007A5FB2"/>
    <w:rPr>
      <w:b/>
      <w:bCs/>
    </w:rPr>
  </w:style>
  <w:style w:type="paragraph" w:styleId="Textodenotaderodap">
    <w:name w:val="footnote text"/>
    <w:basedOn w:val="Normal"/>
    <w:link w:val="TextodenotaderodapChar"/>
    <w:semiHidden/>
    <w:unhideWhenUsed/>
    <w:rsid w:val="00A206F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A206F0"/>
    <w:rPr>
      <w:rFonts w:cs="Calibri"/>
      <w:sz w:val="20"/>
      <w:szCs w:val="20"/>
      <w:lang w:eastAsia="en-US"/>
    </w:rPr>
  </w:style>
  <w:style w:type="character" w:styleId="Refdenotaderodap">
    <w:name w:val="footnote reference"/>
    <w:basedOn w:val="Fontepargpadro"/>
    <w:semiHidden/>
    <w:unhideWhenUsed/>
    <w:rsid w:val="00A20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4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4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39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23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079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99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3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9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4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26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8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66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712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CPD3</dc:creator>
  <cp:lastModifiedBy>Victor de Moraes Lopes</cp:lastModifiedBy>
  <cp:revision>2</cp:revision>
  <cp:lastPrinted>2025-04-30T15:06:00Z</cp:lastPrinted>
  <dcterms:created xsi:type="dcterms:W3CDTF">2025-06-09T15:29:00Z</dcterms:created>
  <dcterms:modified xsi:type="dcterms:W3CDTF">2025-06-09T15:29:00Z</dcterms:modified>
</cp:coreProperties>
</file>