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2B7E8" w14:textId="77777777" w:rsidR="00722D4B" w:rsidRDefault="007F14FE" w:rsidP="00007B17">
      <w:pPr>
        <w:tabs>
          <w:tab w:val="left" w:pos="3180"/>
        </w:tabs>
        <w:spacing w:after="240"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EMENDA </w:t>
      </w:r>
      <w:r w:rsidR="00690FD1">
        <w:rPr>
          <w:rFonts w:ascii="Tahoma" w:eastAsia="Tahoma" w:hAnsi="Tahoma" w:cs="Tahoma"/>
          <w:b/>
          <w:sz w:val="22"/>
          <w:szCs w:val="22"/>
        </w:rPr>
        <w:t>MODIFICATIVA</w:t>
      </w:r>
      <w:r>
        <w:rPr>
          <w:rFonts w:ascii="Tahoma" w:eastAsia="Tahoma" w:hAnsi="Tahoma" w:cs="Tahoma"/>
          <w:b/>
          <w:sz w:val="22"/>
          <w:szCs w:val="22"/>
        </w:rPr>
        <w:t xml:space="preserve"> Nº </w:t>
      </w:r>
      <w:r w:rsidR="00007B17">
        <w:rPr>
          <w:rFonts w:ascii="Tahoma" w:eastAsia="Tahoma" w:hAnsi="Tahoma" w:cs="Tahoma"/>
          <w:b/>
          <w:sz w:val="22"/>
          <w:szCs w:val="22"/>
        </w:rPr>
        <w:t xml:space="preserve">    </w:t>
      </w:r>
      <w:r>
        <w:rPr>
          <w:rFonts w:ascii="Tahoma" w:eastAsia="Tahoma" w:hAnsi="Tahoma" w:cs="Tahoma"/>
          <w:b/>
          <w:sz w:val="22"/>
          <w:szCs w:val="22"/>
        </w:rPr>
        <w:t xml:space="preserve">   /202</w:t>
      </w:r>
      <w:r w:rsidR="00676579">
        <w:rPr>
          <w:rFonts w:ascii="Tahoma" w:eastAsia="Tahoma" w:hAnsi="Tahoma" w:cs="Tahoma"/>
          <w:b/>
          <w:sz w:val="22"/>
          <w:szCs w:val="22"/>
        </w:rPr>
        <w:t>5</w:t>
      </w:r>
    </w:p>
    <w:p w14:paraId="2F4606D7" w14:textId="709D4363" w:rsidR="00722D4B" w:rsidRDefault="0000497A" w:rsidP="009E26C7">
      <w:pPr>
        <w:spacing w:after="240"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Projeto de Lei nº. </w:t>
      </w:r>
      <w:r w:rsidR="00E10945">
        <w:rPr>
          <w:rFonts w:ascii="Tahoma" w:eastAsia="Tahoma" w:hAnsi="Tahoma" w:cs="Tahoma"/>
          <w:b/>
          <w:sz w:val="22"/>
          <w:szCs w:val="22"/>
        </w:rPr>
        <w:t>115</w:t>
      </w:r>
      <w:r w:rsidR="007F14FE">
        <w:rPr>
          <w:rFonts w:ascii="Tahoma" w:eastAsia="Tahoma" w:hAnsi="Tahoma" w:cs="Tahoma"/>
          <w:b/>
          <w:sz w:val="22"/>
          <w:szCs w:val="22"/>
        </w:rPr>
        <w:t>/202</w:t>
      </w:r>
      <w:r w:rsidR="00676579">
        <w:rPr>
          <w:rFonts w:ascii="Tahoma" w:eastAsia="Tahoma" w:hAnsi="Tahoma" w:cs="Tahoma"/>
          <w:b/>
          <w:sz w:val="22"/>
          <w:szCs w:val="22"/>
        </w:rPr>
        <w:t>5</w:t>
      </w:r>
    </w:p>
    <w:p w14:paraId="2C812B7E" w14:textId="65E48C06" w:rsidR="00722D4B" w:rsidRDefault="00690FD1" w:rsidP="00F765BF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Modifica o</w:t>
      </w:r>
      <w:r w:rsidR="0097362C">
        <w:rPr>
          <w:rFonts w:ascii="Tahoma" w:eastAsia="Tahoma" w:hAnsi="Tahoma" w:cs="Tahoma"/>
          <w:b/>
          <w:sz w:val="22"/>
          <w:szCs w:val="22"/>
        </w:rPr>
        <w:t xml:space="preserve"> Art. </w:t>
      </w:r>
      <w:r w:rsidR="00E10945">
        <w:rPr>
          <w:rFonts w:ascii="Tahoma" w:eastAsia="Tahoma" w:hAnsi="Tahoma" w:cs="Tahoma"/>
          <w:b/>
          <w:sz w:val="22"/>
          <w:szCs w:val="22"/>
        </w:rPr>
        <w:t>112 da Lei nº 2.624/2008 – Código de Posturas do Município de Niterói</w:t>
      </w:r>
      <w:r w:rsidR="00F765BF">
        <w:rPr>
          <w:rFonts w:ascii="Tahoma" w:eastAsia="Tahoma" w:hAnsi="Tahoma" w:cs="Tahoma"/>
          <w:b/>
          <w:sz w:val="22"/>
          <w:szCs w:val="22"/>
        </w:rPr>
        <w:t>.</w:t>
      </w:r>
    </w:p>
    <w:p w14:paraId="726E3BE4" w14:textId="77777777" w:rsidR="00F765BF" w:rsidRDefault="00F765BF" w:rsidP="00F765BF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</w:p>
    <w:p w14:paraId="09FC7FBC" w14:textId="552672C4" w:rsidR="0097362C" w:rsidRDefault="007F14FE" w:rsidP="00F765B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 1º</w:t>
      </w:r>
      <w:r>
        <w:rPr>
          <w:rFonts w:ascii="Tahoma" w:eastAsia="Tahoma" w:hAnsi="Tahoma" w:cs="Tahoma"/>
          <w:sz w:val="22"/>
          <w:szCs w:val="22"/>
        </w:rPr>
        <w:t xml:space="preserve"> - </w:t>
      </w:r>
      <w:r w:rsidR="00690FD1" w:rsidRPr="00690FD1">
        <w:rPr>
          <w:rFonts w:ascii="Tahoma" w:eastAsia="Tahoma" w:hAnsi="Tahoma" w:cs="Tahoma"/>
          <w:sz w:val="22"/>
          <w:szCs w:val="22"/>
        </w:rPr>
        <w:t xml:space="preserve">Modifique-se </w:t>
      </w:r>
      <w:r w:rsidR="00E10945" w:rsidRPr="00E10945">
        <w:rPr>
          <w:rFonts w:ascii="Tahoma" w:eastAsia="Tahoma" w:hAnsi="Tahoma" w:cs="Tahoma"/>
          <w:sz w:val="22"/>
          <w:szCs w:val="22"/>
        </w:rPr>
        <w:t>a redação do Art. 112 da Lei Municipal Nº 2.624/2008 – Código de Posturas do Município de Niterói, que passa a vigorar com a seguinte redação</w:t>
      </w:r>
      <w:r w:rsidR="00690FD1" w:rsidRPr="00690FD1">
        <w:rPr>
          <w:rFonts w:ascii="Tahoma" w:eastAsia="Tahoma" w:hAnsi="Tahoma" w:cs="Tahoma"/>
          <w:sz w:val="22"/>
          <w:szCs w:val="22"/>
        </w:rPr>
        <w:t>:</w:t>
      </w:r>
    </w:p>
    <w:p w14:paraId="36BD03F9" w14:textId="77777777" w:rsidR="00690FD1" w:rsidRDefault="00690FD1" w:rsidP="00F765B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14:paraId="57FFFCB6" w14:textId="406A22A5" w:rsidR="0097362C" w:rsidRDefault="0097362C" w:rsidP="00E10945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E10945" w:rsidRPr="00E10945">
        <w:rPr>
          <w:rFonts w:ascii="Tahoma" w:eastAsia="Tahoma" w:hAnsi="Tahoma" w:cs="Tahoma"/>
          <w:sz w:val="22"/>
          <w:szCs w:val="22"/>
        </w:rPr>
        <w:t xml:space="preserve">Art. 112. Os passeios dos logradouros públicos, bem como as áreas de afastamento frontal e </w:t>
      </w:r>
      <w:r w:rsidR="00E10945" w:rsidRPr="009A276B">
        <w:rPr>
          <w:rFonts w:ascii="Tahoma" w:eastAsia="Tahoma" w:hAnsi="Tahoma" w:cs="Tahoma"/>
          <w:b/>
          <w:bCs/>
          <w:sz w:val="22"/>
          <w:szCs w:val="22"/>
        </w:rPr>
        <w:t>as vagas de estacionamento em logradouro público imediatamente à frente de estabelecimentos comerciais</w:t>
      </w:r>
      <w:r w:rsidR="00E10945" w:rsidRPr="00E10945">
        <w:rPr>
          <w:rFonts w:ascii="Tahoma" w:eastAsia="Tahoma" w:hAnsi="Tahoma" w:cs="Tahoma"/>
          <w:sz w:val="22"/>
          <w:szCs w:val="22"/>
        </w:rPr>
        <w:t xml:space="preserve">, poderão ser ocupados para colocação de módulos, por hotéis, bares, restaurantes, quiosques, </w:t>
      </w:r>
      <w:proofErr w:type="spellStart"/>
      <w:r w:rsidR="00E10945" w:rsidRPr="00E10945">
        <w:rPr>
          <w:rFonts w:ascii="Tahoma" w:eastAsia="Tahoma" w:hAnsi="Tahoma" w:cs="Tahoma"/>
          <w:sz w:val="22"/>
          <w:szCs w:val="22"/>
        </w:rPr>
        <w:t>delicatessen</w:t>
      </w:r>
      <w:proofErr w:type="spellEnd"/>
      <w:r w:rsidR="00E10945" w:rsidRPr="00E10945">
        <w:rPr>
          <w:rFonts w:ascii="Tahoma" w:eastAsia="Tahoma" w:hAnsi="Tahoma" w:cs="Tahoma"/>
          <w:sz w:val="22"/>
          <w:szCs w:val="22"/>
        </w:rPr>
        <w:t xml:space="preserve"> e similares, desde que obedecido o disposto nesta Seção e nas demais normas pertinentes, no que couber</w:t>
      </w:r>
      <w:r w:rsidR="00690FD1" w:rsidRPr="00690FD1">
        <w:rPr>
          <w:rFonts w:ascii="Tahoma" w:eastAsia="Tahoma" w:hAnsi="Tahoma" w:cs="Tahoma"/>
          <w:sz w:val="22"/>
          <w:szCs w:val="22"/>
        </w:rPr>
        <w:t>."</w:t>
      </w:r>
    </w:p>
    <w:p w14:paraId="67E53ED4" w14:textId="77777777" w:rsidR="00E10945" w:rsidRDefault="00E10945" w:rsidP="00E10945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</w:p>
    <w:p w14:paraId="128EB241" w14:textId="28805151" w:rsidR="0097362C" w:rsidRDefault="00E10945" w:rsidP="00F765B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10945">
        <w:rPr>
          <w:rFonts w:ascii="Tahoma" w:eastAsia="Tahoma" w:hAnsi="Tahoma" w:cs="Tahoma"/>
          <w:b/>
          <w:bCs/>
          <w:sz w:val="22"/>
          <w:szCs w:val="22"/>
        </w:rPr>
        <w:t>Art. 2º</w:t>
      </w:r>
      <w:r w:rsidRPr="00E10945">
        <w:rPr>
          <w:rFonts w:ascii="Tahoma" w:eastAsia="Tahoma" w:hAnsi="Tahoma" w:cs="Tahoma"/>
          <w:sz w:val="22"/>
          <w:szCs w:val="22"/>
        </w:rPr>
        <w:t xml:space="preserve"> - </w:t>
      </w:r>
      <w:r w:rsidR="00C80B63" w:rsidRPr="00C80B63">
        <w:rPr>
          <w:rFonts w:ascii="Tahoma" w:eastAsia="Tahoma" w:hAnsi="Tahoma" w:cs="Tahoma"/>
          <w:sz w:val="22"/>
          <w:szCs w:val="22"/>
        </w:rPr>
        <w:t>Renumere-se os demais artigos, bem como promova-se a adequação da ementa do Projeto de Lei, em razão da aprovação desta emenda</w:t>
      </w:r>
      <w:r w:rsidR="00C80B63">
        <w:rPr>
          <w:rFonts w:ascii="Tahoma" w:eastAsia="Tahoma" w:hAnsi="Tahoma" w:cs="Tahoma"/>
          <w:sz w:val="22"/>
          <w:szCs w:val="22"/>
        </w:rPr>
        <w:t xml:space="preserve">. </w:t>
      </w:r>
    </w:p>
    <w:p w14:paraId="07591CD1" w14:textId="77777777" w:rsidR="00CA378D" w:rsidRDefault="00CA378D" w:rsidP="00C1346B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</w:p>
    <w:p w14:paraId="00B3300F" w14:textId="457888D1" w:rsidR="00924BA3" w:rsidRDefault="007F14FE" w:rsidP="00924BA3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firstLine="1134"/>
        <w:jc w:val="right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Sala das Sessões, </w:t>
      </w:r>
      <w:r w:rsidR="00E10945">
        <w:rPr>
          <w:rFonts w:ascii="Tahoma" w:eastAsia="Tahoma" w:hAnsi="Tahoma" w:cs="Tahoma"/>
          <w:color w:val="000000"/>
          <w:sz w:val="22"/>
          <w:szCs w:val="22"/>
        </w:rPr>
        <w:t xml:space="preserve">28 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de </w:t>
      </w:r>
      <w:r w:rsidR="00EF697B">
        <w:rPr>
          <w:rFonts w:ascii="Tahoma" w:eastAsia="Tahoma" w:hAnsi="Tahoma" w:cs="Tahoma"/>
          <w:color w:val="000000"/>
          <w:sz w:val="22"/>
          <w:szCs w:val="22"/>
        </w:rPr>
        <w:t>m</w:t>
      </w:r>
      <w:r w:rsidR="00E10945">
        <w:rPr>
          <w:rFonts w:ascii="Tahoma" w:eastAsia="Tahoma" w:hAnsi="Tahoma" w:cs="Tahoma"/>
          <w:color w:val="000000"/>
          <w:sz w:val="22"/>
          <w:szCs w:val="22"/>
        </w:rPr>
        <w:t>aio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de 202</w:t>
      </w:r>
      <w:r w:rsidR="00E309D1">
        <w:rPr>
          <w:rFonts w:ascii="Tahoma" w:eastAsia="Tahoma" w:hAnsi="Tahoma" w:cs="Tahoma"/>
          <w:color w:val="000000"/>
          <w:sz w:val="22"/>
          <w:szCs w:val="22"/>
        </w:rPr>
        <w:t>5</w:t>
      </w:r>
      <w:r>
        <w:rPr>
          <w:rFonts w:ascii="Tahoma" w:eastAsia="Tahoma" w:hAnsi="Tahoma" w:cs="Tahoma"/>
          <w:color w:val="000000"/>
          <w:sz w:val="22"/>
          <w:szCs w:val="22"/>
        </w:rPr>
        <w:t>.</w:t>
      </w:r>
    </w:p>
    <w:p w14:paraId="7547506A" w14:textId="77777777" w:rsidR="00F765BF" w:rsidRDefault="00F765BF" w:rsidP="00924BA3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firstLine="1134"/>
        <w:jc w:val="right"/>
        <w:rPr>
          <w:rFonts w:ascii="Tahoma" w:eastAsia="Tahoma" w:hAnsi="Tahoma" w:cs="Tahoma"/>
          <w:sz w:val="22"/>
          <w:szCs w:val="22"/>
        </w:rPr>
      </w:pPr>
    </w:p>
    <w:p w14:paraId="4BE4EFB7" w14:textId="77777777" w:rsidR="00722D4B" w:rsidRDefault="007F14FE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>_____________________________</w:t>
      </w:r>
    </w:p>
    <w:p w14:paraId="28CD1294" w14:textId="77777777" w:rsidR="00722D4B" w:rsidRDefault="007F14FE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Daniel Marques</w:t>
      </w:r>
    </w:p>
    <w:p w14:paraId="5E4E7C19" w14:textId="77777777" w:rsidR="00722D4B" w:rsidRDefault="007F14FE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Vereador</w:t>
      </w:r>
    </w:p>
    <w:p w14:paraId="03FBBE1A" w14:textId="77777777" w:rsidR="00EF697B" w:rsidRDefault="00EF697B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6BB897F3" w14:textId="77777777" w:rsidR="006F37D2" w:rsidRDefault="006F37D2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00871AA0" w14:textId="77777777" w:rsidR="00E10945" w:rsidRDefault="00E10945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7564BFE5" w14:textId="77777777" w:rsidR="00E10945" w:rsidRDefault="00E10945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44C6604E" w14:textId="77777777" w:rsidR="00E10945" w:rsidRDefault="00E10945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23AA4170" w14:textId="77777777" w:rsidR="00924BA3" w:rsidRDefault="00924BA3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Justificativa</w:t>
      </w:r>
    </w:p>
    <w:p w14:paraId="2B2E04D5" w14:textId="664F7F37" w:rsidR="00E10945" w:rsidRPr="00E10945" w:rsidRDefault="00E10945" w:rsidP="00E109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A presente emenda </w:t>
      </w:r>
      <w:r w:rsidRPr="00E10945">
        <w:rPr>
          <w:rFonts w:ascii="Tahoma" w:eastAsia="Tahoma" w:hAnsi="Tahoma" w:cs="Tahoma"/>
          <w:color w:val="000000"/>
          <w:sz w:val="22"/>
          <w:szCs w:val="22"/>
        </w:rPr>
        <w:t>visa dinamizar a economia local, fortalecer a vitalidade do espaço urbano ao reafirmá-lo como ambiente de convivência e ressignificar a primazia de uso das vias públicas municipais por automóveis particulares.</w:t>
      </w:r>
    </w:p>
    <w:p w14:paraId="1F7C2404" w14:textId="77777777" w:rsidR="00E10945" w:rsidRPr="00E10945" w:rsidRDefault="00E10945" w:rsidP="00E109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  <w:sz w:val="22"/>
          <w:szCs w:val="22"/>
        </w:rPr>
      </w:pPr>
      <w:r w:rsidRPr="00E10945">
        <w:rPr>
          <w:rFonts w:ascii="Tahoma" w:eastAsia="Tahoma" w:hAnsi="Tahoma" w:cs="Tahoma"/>
          <w:color w:val="000000"/>
          <w:sz w:val="22"/>
          <w:szCs w:val="22"/>
        </w:rPr>
        <w:t>Ao permitir a ocupação de vagas de estacionamento por módulos de mesas, sob critérios rigorosos de segurança, acessibilidade e interesse público, busca-se estimular o comércio e valorizar o ambiente urbano.</w:t>
      </w:r>
    </w:p>
    <w:p w14:paraId="559D186A" w14:textId="787E6F9D" w:rsidR="001A589D" w:rsidRPr="002037C9" w:rsidRDefault="00E10945" w:rsidP="00E109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  <w:sz w:val="22"/>
          <w:szCs w:val="22"/>
        </w:rPr>
      </w:pPr>
      <w:r w:rsidRPr="00E10945">
        <w:rPr>
          <w:rFonts w:ascii="Tahoma" w:eastAsia="Tahoma" w:hAnsi="Tahoma" w:cs="Tahoma"/>
          <w:color w:val="000000"/>
          <w:sz w:val="22"/>
          <w:szCs w:val="22"/>
        </w:rPr>
        <w:t>Contamos com o apoio dos nobres pares para a aprovação desta medida, que representa um passo importante para o aprimoramento do desenvolvimento econômico de Niterói, promovendo uma cidade mais dinâmica, acessível, acolhedora para seus habitantes e alinhada à mobilidade urbana sustentável e inclusiva</w:t>
      </w:r>
      <w:r w:rsidR="00690FD1" w:rsidRPr="00690FD1">
        <w:rPr>
          <w:rFonts w:ascii="Tahoma" w:eastAsia="Tahoma" w:hAnsi="Tahoma" w:cs="Tahoma"/>
          <w:color w:val="000000"/>
          <w:sz w:val="22"/>
          <w:szCs w:val="22"/>
        </w:rPr>
        <w:t>.</w:t>
      </w:r>
    </w:p>
    <w:p w14:paraId="06BE733A" w14:textId="77777777" w:rsidR="00924BA3" w:rsidRDefault="00924BA3" w:rsidP="00924BA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sectPr w:rsidR="00924BA3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C1BBC" w14:textId="77777777" w:rsidR="008078F8" w:rsidRDefault="008078F8">
      <w:r>
        <w:separator/>
      </w:r>
    </w:p>
  </w:endnote>
  <w:endnote w:type="continuationSeparator" w:id="0">
    <w:p w14:paraId="196E5558" w14:textId="77777777" w:rsidR="008078F8" w:rsidRDefault="0080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52180" w14:textId="45BE42BB" w:rsidR="007F14FE" w:rsidRDefault="00E109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0"/>
        <w:szCs w:val="10"/>
      </w:rPr>
    </w:pPr>
    <w:r>
      <w:rPr>
        <w:color w:val="000000"/>
        <w:sz w:val="10"/>
        <w:szCs w:val="10"/>
      </w:rPr>
      <w:t>GL</w:t>
    </w:r>
  </w:p>
  <w:p w14:paraId="58F2F71A" w14:textId="77777777" w:rsidR="007F14FE" w:rsidRDefault="007F14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9FD7A" w14:textId="77777777" w:rsidR="008078F8" w:rsidRDefault="008078F8">
      <w:r>
        <w:separator/>
      </w:r>
    </w:p>
  </w:footnote>
  <w:footnote w:type="continuationSeparator" w:id="0">
    <w:p w14:paraId="54B85E2C" w14:textId="77777777" w:rsidR="008078F8" w:rsidRDefault="00807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81E9E" w14:textId="77777777" w:rsidR="007F14FE" w:rsidRDefault="007F14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tbl>
    <w:tblPr>
      <w:tblStyle w:val="a"/>
      <w:tblW w:w="9274" w:type="dxa"/>
      <w:tblInd w:w="-228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7F14FE" w14:paraId="1580EF6A" w14:textId="77777777">
      <w:trPr>
        <w:trHeight w:val="1760"/>
      </w:trPr>
      <w:tc>
        <w:tcPr>
          <w:tcW w:w="1739" w:type="dxa"/>
        </w:tcPr>
        <w:p w14:paraId="67AB6E5C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7729C7D8" wp14:editId="18E4B390">
                <wp:extent cx="933450" cy="1123950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36B5ACE5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2B68F20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09DB8D5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1DC8A71C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14:paraId="35BFADF2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0E6D6876" w14:textId="77777777" w:rsidR="007F14FE" w:rsidRDefault="007F14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46F0D"/>
    <w:multiLevelType w:val="hybridMultilevel"/>
    <w:tmpl w:val="B130EC0C"/>
    <w:lvl w:ilvl="0" w:tplc="15AE3D18">
      <w:start w:val="3"/>
      <w:numFmt w:val="upperRoman"/>
      <w:lvlText w:val="%1.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14A10890"/>
    <w:multiLevelType w:val="hybridMultilevel"/>
    <w:tmpl w:val="A6FCB930"/>
    <w:lvl w:ilvl="0" w:tplc="2EC46510">
      <w:start w:val="2"/>
      <w:numFmt w:val="upperRoman"/>
      <w:lvlText w:val="%1.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560821917">
    <w:abstractNumId w:val="1"/>
  </w:num>
  <w:num w:numId="2" w16cid:durableId="334263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D4B"/>
    <w:rsid w:val="0000497A"/>
    <w:rsid w:val="00007B17"/>
    <w:rsid w:val="00182535"/>
    <w:rsid w:val="001929ED"/>
    <w:rsid w:val="001A589D"/>
    <w:rsid w:val="001B0384"/>
    <w:rsid w:val="001C089B"/>
    <w:rsid w:val="002037C9"/>
    <w:rsid w:val="00215981"/>
    <w:rsid w:val="00224E82"/>
    <w:rsid w:val="00230F2A"/>
    <w:rsid w:val="003059C1"/>
    <w:rsid w:val="00311573"/>
    <w:rsid w:val="0032190B"/>
    <w:rsid w:val="003536F9"/>
    <w:rsid w:val="00357B60"/>
    <w:rsid w:val="003A5919"/>
    <w:rsid w:val="003A6162"/>
    <w:rsid w:val="00427CE4"/>
    <w:rsid w:val="005006F2"/>
    <w:rsid w:val="00527C11"/>
    <w:rsid w:val="005E03B2"/>
    <w:rsid w:val="005E5FA3"/>
    <w:rsid w:val="00673C68"/>
    <w:rsid w:val="00676579"/>
    <w:rsid w:val="00690FD1"/>
    <w:rsid w:val="00693A98"/>
    <w:rsid w:val="006C57DB"/>
    <w:rsid w:val="006F37D2"/>
    <w:rsid w:val="00722D4B"/>
    <w:rsid w:val="00755ACA"/>
    <w:rsid w:val="007705E2"/>
    <w:rsid w:val="007A3332"/>
    <w:rsid w:val="007C5374"/>
    <w:rsid w:val="007F14FE"/>
    <w:rsid w:val="008078F8"/>
    <w:rsid w:val="00824CB5"/>
    <w:rsid w:val="008308AC"/>
    <w:rsid w:val="00854B24"/>
    <w:rsid w:val="00870F2C"/>
    <w:rsid w:val="00883A7A"/>
    <w:rsid w:val="008B193A"/>
    <w:rsid w:val="008F436B"/>
    <w:rsid w:val="0090611F"/>
    <w:rsid w:val="00924BA3"/>
    <w:rsid w:val="00970C5A"/>
    <w:rsid w:val="0097362C"/>
    <w:rsid w:val="009A276B"/>
    <w:rsid w:val="009A5B79"/>
    <w:rsid w:val="009E26C7"/>
    <w:rsid w:val="00A44015"/>
    <w:rsid w:val="00B02953"/>
    <w:rsid w:val="00B219A6"/>
    <w:rsid w:val="00B6034A"/>
    <w:rsid w:val="00B61BD7"/>
    <w:rsid w:val="00B8658F"/>
    <w:rsid w:val="00C1346B"/>
    <w:rsid w:val="00C679F4"/>
    <w:rsid w:val="00C80B63"/>
    <w:rsid w:val="00CA378D"/>
    <w:rsid w:val="00DC72E1"/>
    <w:rsid w:val="00E10945"/>
    <w:rsid w:val="00E309D1"/>
    <w:rsid w:val="00E3204B"/>
    <w:rsid w:val="00E37012"/>
    <w:rsid w:val="00E520B6"/>
    <w:rsid w:val="00EF697B"/>
    <w:rsid w:val="00F11873"/>
    <w:rsid w:val="00F46ECA"/>
    <w:rsid w:val="00F765BF"/>
    <w:rsid w:val="00FA2AFB"/>
    <w:rsid w:val="00FC45D9"/>
    <w:rsid w:val="00F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73A5D"/>
  <w15:docId w15:val="{87819BF7-1473-4D11-98E8-06C77A78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07B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7B1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6EC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109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0945"/>
  </w:style>
  <w:style w:type="paragraph" w:styleId="Rodap">
    <w:name w:val="footer"/>
    <w:basedOn w:val="Normal"/>
    <w:link w:val="RodapChar"/>
    <w:uiPriority w:val="99"/>
    <w:unhideWhenUsed/>
    <w:rsid w:val="00E1094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0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6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RlruZFiPpdQtSeiCwZh+jlqVcg==">CgMxLjAyCWguMzBqMHpsbDgAchlpZDpLajc3bHpjSnROVUFBQUFBQUFCdlV3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Gisella Quaresma</cp:lastModifiedBy>
  <cp:revision>3</cp:revision>
  <cp:lastPrinted>2025-03-26T16:13:00Z</cp:lastPrinted>
  <dcterms:created xsi:type="dcterms:W3CDTF">2025-05-28T14:33:00Z</dcterms:created>
  <dcterms:modified xsi:type="dcterms:W3CDTF">2025-05-28T18:07:00Z</dcterms:modified>
</cp:coreProperties>
</file>