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1D7" w:rsidRPr="007E0F99" w:rsidRDefault="009F21D7">
      <w:pPr>
        <w:pStyle w:val="Corpodetexto"/>
        <w:rPr>
          <w:b/>
          <w:bCs/>
          <w:sz w:val="26"/>
          <w:szCs w:val="26"/>
        </w:rPr>
      </w:pPr>
      <w:r w:rsidRPr="007E0F99">
        <w:rPr>
          <w:b/>
          <w:bCs/>
          <w:sz w:val="26"/>
          <w:szCs w:val="26"/>
        </w:rPr>
        <w:t>Projeto de Lei n.º</w:t>
      </w:r>
    </w:p>
    <w:p w:rsidR="009F21D7" w:rsidRPr="007E0F99" w:rsidRDefault="009F21D7">
      <w:pPr>
        <w:pStyle w:val="Corpodetexto"/>
        <w:rPr>
          <w:sz w:val="26"/>
          <w:szCs w:val="26"/>
        </w:rPr>
      </w:pPr>
    </w:p>
    <w:p w:rsidR="009F21D7" w:rsidRPr="007E0F99" w:rsidRDefault="009F21D7">
      <w:pPr>
        <w:pStyle w:val="Corpodetexto"/>
        <w:ind w:left="3420"/>
        <w:rPr>
          <w:b/>
          <w:bCs/>
          <w:sz w:val="26"/>
          <w:szCs w:val="26"/>
          <w:u w:val="single"/>
        </w:rPr>
      </w:pPr>
    </w:p>
    <w:p w:rsidR="009F21D7" w:rsidRPr="007E0F99" w:rsidRDefault="009F21D7">
      <w:pPr>
        <w:pStyle w:val="Corpodetexto"/>
        <w:ind w:left="4500"/>
        <w:rPr>
          <w:b/>
          <w:bCs/>
          <w:sz w:val="26"/>
          <w:szCs w:val="26"/>
          <w:u w:val="single"/>
        </w:rPr>
      </w:pPr>
    </w:p>
    <w:p w:rsidR="009F21D7" w:rsidRPr="007E0F99" w:rsidRDefault="009F21D7">
      <w:pPr>
        <w:pStyle w:val="Corpodetexto"/>
        <w:ind w:left="4500"/>
        <w:rPr>
          <w:b/>
          <w:bCs/>
          <w:sz w:val="26"/>
          <w:szCs w:val="26"/>
          <w:u w:val="single"/>
        </w:rPr>
      </w:pPr>
    </w:p>
    <w:p w:rsidR="007078A7" w:rsidRPr="007E0F99" w:rsidRDefault="009F21D7" w:rsidP="009E4775">
      <w:pPr>
        <w:pStyle w:val="Corpodetexto"/>
        <w:ind w:left="3402" w:firstLine="708"/>
        <w:rPr>
          <w:b/>
          <w:bCs/>
          <w:iCs/>
          <w:sz w:val="24"/>
          <w:szCs w:val="26"/>
        </w:rPr>
      </w:pPr>
      <w:r w:rsidRPr="007E0F99">
        <w:rPr>
          <w:b/>
          <w:bCs/>
          <w:sz w:val="24"/>
          <w:szCs w:val="26"/>
          <w:u w:val="single"/>
        </w:rPr>
        <w:t>Ementa</w:t>
      </w:r>
      <w:r w:rsidRPr="007E0F99">
        <w:rPr>
          <w:b/>
          <w:bCs/>
          <w:sz w:val="24"/>
          <w:szCs w:val="26"/>
        </w:rPr>
        <w:t>:</w:t>
      </w:r>
      <w:r w:rsidR="00EE3738" w:rsidRPr="007E0F99">
        <w:rPr>
          <w:b/>
          <w:bCs/>
          <w:i/>
          <w:iCs/>
          <w:sz w:val="24"/>
          <w:szCs w:val="26"/>
        </w:rPr>
        <w:t xml:space="preserve"> </w:t>
      </w:r>
      <w:r w:rsidR="009E4775" w:rsidRPr="007E0F99">
        <w:rPr>
          <w:b/>
          <w:bCs/>
          <w:i/>
          <w:iCs/>
          <w:sz w:val="24"/>
          <w:szCs w:val="26"/>
        </w:rPr>
        <w:t>Dispõe sobre a proibição da circulação de bicicletas elétricas e equipamentos de mobilidade individual autopropelidos em calçadas e passeios públicos no Município de Niterói, e dá outras providências.</w:t>
      </w:r>
    </w:p>
    <w:p w:rsidR="00A62A19" w:rsidRPr="007E0F99" w:rsidRDefault="00A62A19" w:rsidP="007078A7">
      <w:pPr>
        <w:pStyle w:val="Corpodetexto"/>
        <w:ind w:firstLine="708"/>
        <w:rPr>
          <w:color w:val="000000"/>
          <w:sz w:val="26"/>
          <w:szCs w:val="26"/>
        </w:rPr>
      </w:pPr>
    </w:p>
    <w:p w:rsidR="00A62A19" w:rsidRPr="007E0F99" w:rsidRDefault="00A62A19" w:rsidP="007078A7">
      <w:pPr>
        <w:pStyle w:val="Corpodetexto"/>
        <w:ind w:firstLine="708"/>
        <w:rPr>
          <w:color w:val="000000"/>
          <w:sz w:val="26"/>
          <w:szCs w:val="26"/>
        </w:rPr>
      </w:pPr>
    </w:p>
    <w:p w:rsidR="00B1210B" w:rsidRPr="007E0F99" w:rsidRDefault="00B1210B" w:rsidP="007078A7">
      <w:pPr>
        <w:pStyle w:val="Corpodetexto"/>
        <w:ind w:firstLine="708"/>
        <w:rPr>
          <w:color w:val="000000"/>
          <w:sz w:val="26"/>
          <w:szCs w:val="26"/>
        </w:rPr>
      </w:pPr>
    </w:p>
    <w:p w:rsidR="00B1210B" w:rsidRPr="007E0F99" w:rsidRDefault="00B1210B" w:rsidP="007078A7">
      <w:pPr>
        <w:pStyle w:val="Corpodetexto"/>
        <w:ind w:firstLine="708"/>
        <w:rPr>
          <w:color w:val="000000"/>
          <w:sz w:val="26"/>
          <w:szCs w:val="26"/>
        </w:rPr>
      </w:pPr>
    </w:p>
    <w:p w:rsidR="00A62A19" w:rsidRPr="007E0F99" w:rsidRDefault="00A62A19" w:rsidP="007078A7">
      <w:pPr>
        <w:pStyle w:val="Corpodetexto"/>
        <w:ind w:firstLine="708"/>
        <w:rPr>
          <w:color w:val="000000"/>
          <w:sz w:val="26"/>
          <w:szCs w:val="26"/>
        </w:rPr>
      </w:pPr>
    </w:p>
    <w:p w:rsidR="009E4775" w:rsidRPr="007E0F99" w:rsidRDefault="00A62A19" w:rsidP="009E4775">
      <w:pPr>
        <w:pStyle w:val="Corpodetexto"/>
        <w:ind w:firstLine="708"/>
        <w:rPr>
          <w:bCs/>
          <w:sz w:val="26"/>
          <w:szCs w:val="26"/>
        </w:rPr>
      </w:pPr>
      <w:r w:rsidRPr="007E0F99">
        <w:rPr>
          <w:b/>
          <w:bCs/>
          <w:sz w:val="26"/>
          <w:szCs w:val="26"/>
        </w:rPr>
        <w:t>Art. 1º</w:t>
      </w:r>
      <w:r w:rsidR="00C127A6" w:rsidRPr="007E0F99">
        <w:rPr>
          <w:b/>
          <w:bCs/>
          <w:sz w:val="26"/>
          <w:szCs w:val="26"/>
        </w:rPr>
        <w:t xml:space="preserve"> </w:t>
      </w:r>
      <w:r w:rsidR="009E4775" w:rsidRPr="007E0F99">
        <w:rPr>
          <w:bCs/>
          <w:sz w:val="26"/>
          <w:szCs w:val="26"/>
        </w:rPr>
        <w:t>Fica proibida, em todo o território do Município de Niterói, a circulação, condução ou utilização, em calçadas e demais passeios públicos, de:</w:t>
      </w:r>
    </w:p>
    <w:p w:rsidR="009E4775" w:rsidRPr="007E0F99" w:rsidRDefault="009E4775" w:rsidP="009E4775">
      <w:pPr>
        <w:pStyle w:val="Corpodetexto"/>
        <w:ind w:firstLine="708"/>
        <w:rPr>
          <w:bCs/>
          <w:sz w:val="26"/>
          <w:szCs w:val="26"/>
        </w:rPr>
      </w:pPr>
      <w:r w:rsidRPr="007E0F99">
        <w:rPr>
          <w:b/>
          <w:bCs/>
          <w:sz w:val="26"/>
          <w:szCs w:val="26"/>
        </w:rPr>
        <w:t>I</w:t>
      </w:r>
      <w:r w:rsidRPr="007E0F99">
        <w:rPr>
          <w:bCs/>
          <w:sz w:val="26"/>
          <w:szCs w:val="26"/>
        </w:rPr>
        <w:t xml:space="preserve"> – bicicletas elétricas, nos termos do inciso III do art. 2º da Resolução CONTRAN nº 996, de 15 de junho de 2023;</w:t>
      </w:r>
    </w:p>
    <w:p w:rsidR="009E4775" w:rsidRPr="007E0F99" w:rsidRDefault="009E4775" w:rsidP="009E4775">
      <w:pPr>
        <w:pStyle w:val="Corpodetexto"/>
        <w:ind w:firstLine="708"/>
        <w:rPr>
          <w:bCs/>
          <w:sz w:val="26"/>
          <w:szCs w:val="26"/>
        </w:rPr>
      </w:pPr>
      <w:r w:rsidRPr="007E0F99">
        <w:rPr>
          <w:b/>
          <w:bCs/>
          <w:sz w:val="26"/>
          <w:szCs w:val="26"/>
        </w:rPr>
        <w:t>II</w:t>
      </w:r>
      <w:r w:rsidRPr="007E0F99">
        <w:rPr>
          <w:bCs/>
          <w:sz w:val="26"/>
          <w:szCs w:val="26"/>
        </w:rPr>
        <w:t xml:space="preserve"> – equipamentos de mobilidade individual autopropelidos, nos termos do inciso II </w:t>
      </w:r>
      <w:r w:rsidRPr="007E0F99">
        <w:rPr>
          <w:bCs/>
          <w:sz w:val="26"/>
          <w:szCs w:val="26"/>
        </w:rPr>
        <w:t xml:space="preserve">do art. 2º da Resolução </w:t>
      </w:r>
      <w:r w:rsidRPr="007E0F99">
        <w:rPr>
          <w:bCs/>
          <w:sz w:val="26"/>
          <w:szCs w:val="26"/>
        </w:rPr>
        <w:t>CONTRAN nº 996, de 15 de junho de 2023.</w:t>
      </w:r>
    </w:p>
    <w:p w:rsidR="009E4775" w:rsidRPr="007E0F99" w:rsidRDefault="009E4775" w:rsidP="009E4775">
      <w:pPr>
        <w:pStyle w:val="Corpodetexto"/>
        <w:ind w:firstLine="708"/>
        <w:rPr>
          <w:bCs/>
          <w:sz w:val="26"/>
          <w:szCs w:val="26"/>
        </w:rPr>
      </w:pPr>
      <w:r w:rsidRPr="007E0F99">
        <w:rPr>
          <w:b/>
          <w:bCs/>
          <w:sz w:val="26"/>
          <w:szCs w:val="26"/>
        </w:rPr>
        <w:t>§ 1º</w:t>
      </w:r>
      <w:r w:rsidRPr="007E0F99">
        <w:rPr>
          <w:bCs/>
          <w:sz w:val="26"/>
          <w:szCs w:val="26"/>
        </w:rPr>
        <w:t xml:space="preserve"> A vedação aplica-se a todas as calçadas e passeios, inclusive àquelas compartilhadas com ciclistas, independentemente da velocidade praticada.</w:t>
      </w:r>
    </w:p>
    <w:p w:rsidR="00C43238" w:rsidRPr="007E0F99" w:rsidRDefault="009E4775" w:rsidP="009E4775">
      <w:pPr>
        <w:pStyle w:val="Corpodetexto"/>
        <w:ind w:firstLine="708"/>
        <w:rPr>
          <w:bCs/>
          <w:sz w:val="26"/>
          <w:szCs w:val="26"/>
        </w:rPr>
      </w:pPr>
      <w:r w:rsidRPr="007E0F99">
        <w:rPr>
          <w:b/>
          <w:bCs/>
          <w:sz w:val="26"/>
          <w:szCs w:val="26"/>
        </w:rPr>
        <w:t>§ 2º</w:t>
      </w:r>
      <w:r w:rsidRPr="007E0F99">
        <w:rPr>
          <w:bCs/>
          <w:sz w:val="26"/>
          <w:szCs w:val="26"/>
        </w:rPr>
        <w:t xml:space="preserve"> Excetuam-se da proibição os equipamentos utilizados por pessoas com deficiência ou mobilidade </w:t>
      </w:r>
      <w:proofErr w:type="gramStart"/>
      <w:r w:rsidRPr="007E0F99">
        <w:rPr>
          <w:bCs/>
          <w:sz w:val="26"/>
          <w:szCs w:val="26"/>
        </w:rPr>
        <w:t>reduzida, devidamente caracterizados e adaptados para essa finalidade</w:t>
      </w:r>
      <w:proofErr w:type="gramEnd"/>
      <w:r w:rsidRPr="007E0F99">
        <w:rPr>
          <w:bCs/>
          <w:sz w:val="26"/>
          <w:szCs w:val="26"/>
        </w:rPr>
        <w:t>.</w:t>
      </w:r>
    </w:p>
    <w:p w:rsidR="004D015C" w:rsidRPr="007E0F99" w:rsidRDefault="004D015C" w:rsidP="004D015C">
      <w:pPr>
        <w:pStyle w:val="Corpodetexto"/>
        <w:ind w:firstLine="708"/>
        <w:rPr>
          <w:bCs/>
          <w:sz w:val="26"/>
          <w:szCs w:val="26"/>
        </w:rPr>
      </w:pPr>
      <w:r w:rsidRPr="007E0F99">
        <w:rPr>
          <w:bCs/>
          <w:sz w:val="26"/>
          <w:szCs w:val="26"/>
        </w:rPr>
        <w:lastRenderedPageBreak/>
        <w:t xml:space="preserve"> </w:t>
      </w:r>
      <w:r w:rsidRPr="007E0F99">
        <w:rPr>
          <w:b/>
          <w:bCs/>
          <w:sz w:val="26"/>
          <w:szCs w:val="26"/>
        </w:rPr>
        <w:t>§ 3º</w:t>
      </w:r>
      <w:r w:rsidRPr="007E0F99">
        <w:rPr>
          <w:bCs/>
          <w:sz w:val="26"/>
          <w:szCs w:val="26"/>
        </w:rPr>
        <w:t xml:space="preserve"> Não se considera circulação, para os fins desta Lei, o deslocamento do condutor a pé, empurrando o equipamento, equiparado ao pedestre para todos os efeitos legais.</w:t>
      </w:r>
    </w:p>
    <w:p w:rsidR="00151D0A" w:rsidRPr="007E0F99" w:rsidRDefault="00151D0A" w:rsidP="00151D0A">
      <w:pPr>
        <w:pStyle w:val="Corpodetexto"/>
        <w:ind w:firstLine="708"/>
        <w:rPr>
          <w:bCs/>
          <w:sz w:val="26"/>
          <w:szCs w:val="26"/>
        </w:rPr>
      </w:pPr>
      <w:r w:rsidRPr="007E0F99">
        <w:rPr>
          <w:b/>
          <w:bCs/>
          <w:sz w:val="26"/>
          <w:szCs w:val="26"/>
        </w:rPr>
        <w:t xml:space="preserve">Art. </w:t>
      </w:r>
      <w:r w:rsidRPr="007E0F99">
        <w:rPr>
          <w:b/>
          <w:bCs/>
          <w:sz w:val="26"/>
          <w:szCs w:val="26"/>
        </w:rPr>
        <w:t>2º</w:t>
      </w:r>
      <w:r w:rsidRPr="007E0F99">
        <w:rPr>
          <w:bCs/>
          <w:sz w:val="26"/>
          <w:szCs w:val="26"/>
        </w:rPr>
        <w:t xml:space="preserve"> </w:t>
      </w:r>
      <w:r w:rsidRPr="007E0F99">
        <w:rPr>
          <w:bCs/>
          <w:sz w:val="26"/>
          <w:szCs w:val="26"/>
        </w:rPr>
        <w:t xml:space="preserve">A circulação de bicicletas elétricas e equipamentos de mobilidade individual autopropelidos </w:t>
      </w:r>
      <w:proofErr w:type="gramStart"/>
      <w:r w:rsidRPr="007E0F99">
        <w:rPr>
          <w:bCs/>
          <w:sz w:val="26"/>
          <w:szCs w:val="26"/>
        </w:rPr>
        <w:t>será permitida</w:t>
      </w:r>
      <w:proofErr w:type="gramEnd"/>
      <w:r w:rsidRPr="007E0F99">
        <w:rPr>
          <w:bCs/>
          <w:sz w:val="26"/>
          <w:szCs w:val="26"/>
        </w:rPr>
        <w:t xml:space="preserve"> em ciclovias, ciclofaixas e vias urbanas, desde que obedecidas as regras de circulação e segurança previstas no Código de Trânsito Brasileiro, na Resolução CONTRAN nº 996/2023 e no Decreto Municipal nº 15.004/2023.</w:t>
      </w:r>
    </w:p>
    <w:p w:rsidR="00151D0A" w:rsidRPr="007E0F99" w:rsidRDefault="00151D0A" w:rsidP="00151D0A">
      <w:pPr>
        <w:pStyle w:val="Corpodetexto"/>
        <w:ind w:firstLine="708"/>
        <w:rPr>
          <w:bCs/>
          <w:sz w:val="26"/>
          <w:szCs w:val="26"/>
        </w:rPr>
      </w:pPr>
      <w:r w:rsidRPr="007E0F99">
        <w:rPr>
          <w:b/>
          <w:bCs/>
          <w:sz w:val="26"/>
          <w:szCs w:val="26"/>
        </w:rPr>
        <w:t>Art. 3º</w:t>
      </w:r>
      <w:r w:rsidRPr="007E0F99">
        <w:rPr>
          <w:bCs/>
          <w:sz w:val="26"/>
          <w:szCs w:val="26"/>
        </w:rPr>
        <w:t xml:space="preserve"> A fiscalização do cumprimento desta regulamentação se dará através dos órgãos e agentes do município com poder de polícia de trânsito.</w:t>
      </w:r>
    </w:p>
    <w:p w:rsidR="00151D0A" w:rsidRPr="007E0F99" w:rsidRDefault="005714F7" w:rsidP="00151D0A">
      <w:pPr>
        <w:pStyle w:val="Corpodetexto"/>
        <w:ind w:firstLine="708"/>
        <w:rPr>
          <w:bCs/>
          <w:sz w:val="26"/>
          <w:szCs w:val="26"/>
        </w:rPr>
      </w:pPr>
      <w:r w:rsidRPr="007E0F99">
        <w:rPr>
          <w:b/>
          <w:bCs/>
          <w:sz w:val="26"/>
          <w:szCs w:val="26"/>
        </w:rPr>
        <w:t>§ 1º</w:t>
      </w:r>
      <w:r w:rsidR="00151D0A" w:rsidRPr="007E0F99">
        <w:rPr>
          <w:bCs/>
          <w:sz w:val="26"/>
          <w:szCs w:val="26"/>
        </w:rPr>
        <w:t xml:space="preserve"> </w:t>
      </w:r>
      <w:r w:rsidR="00151D0A" w:rsidRPr="007E0F99">
        <w:rPr>
          <w:bCs/>
          <w:sz w:val="26"/>
          <w:szCs w:val="26"/>
        </w:rPr>
        <w:t>O descumprimento ao disposto nesta Lei sujeitará o infrator às seguintes sanções administrativas:</w:t>
      </w:r>
    </w:p>
    <w:p w:rsidR="00151D0A" w:rsidRPr="007E0F99" w:rsidRDefault="00151D0A" w:rsidP="00151D0A">
      <w:pPr>
        <w:pStyle w:val="Corpodetexto"/>
        <w:ind w:firstLine="708"/>
        <w:rPr>
          <w:bCs/>
          <w:sz w:val="26"/>
          <w:szCs w:val="26"/>
        </w:rPr>
      </w:pPr>
      <w:r w:rsidRPr="007E0F99">
        <w:rPr>
          <w:b/>
          <w:bCs/>
          <w:sz w:val="26"/>
          <w:szCs w:val="26"/>
        </w:rPr>
        <w:t>I</w:t>
      </w:r>
      <w:r w:rsidRPr="007E0F99">
        <w:rPr>
          <w:bCs/>
          <w:sz w:val="26"/>
          <w:szCs w:val="26"/>
        </w:rPr>
        <w:t xml:space="preserve"> – </w:t>
      </w:r>
      <w:r w:rsidRPr="007E0F99">
        <w:rPr>
          <w:bCs/>
          <w:sz w:val="26"/>
          <w:szCs w:val="26"/>
        </w:rPr>
        <w:t>advertência por escrito, na primeira autuação, com orientação sobre a norma;</w:t>
      </w:r>
    </w:p>
    <w:p w:rsidR="00151D0A" w:rsidRPr="007E0F99" w:rsidRDefault="00151D0A" w:rsidP="00151D0A">
      <w:pPr>
        <w:pStyle w:val="Corpodetexto"/>
        <w:ind w:firstLine="708"/>
        <w:rPr>
          <w:bCs/>
          <w:sz w:val="26"/>
          <w:szCs w:val="26"/>
        </w:rPr>
      </w:pPr>
      <w:r w:rsidRPr="007E0F99">
        <w:rPr>
          <w:b/>
          <w:bCs/>
          <w:sz w:val="26"/>
          <w:szCs w:val="26"/>
        </w:rPr>
        <w:t>II</w:t>
      </w:r>
      <w:r w:rsidRPr="007E0F99">
        <w:rPr>
          <w:bCs/>
          <w:sz w:val="26"/>
          <w:szCs w:val="26"/>
        </w:rPr>
        <w:t xml:space="preserve"> – multa administrativa </w:t>
      </w:r>
      <w:r w:rsidR="005714F7" w:rsidRPr="007E0F99">
        <w:rPr>
          <w:sz w:val="26"/>
          <w:szCs w:val="26"/>
        </w:rPr>
        <w:t>no valor equivalente à referência M2, constante do Anexo I, do Código Tributário Municipal</w:t>
      </w:r>
      <w:r w:rsidRPr="007E0F99">
        <w:rPr>
          <w:bCs/>
          <w:sz w:val="26"/>
          <w:szCs w:val="26"/>
        </w:rPr>
        <w:t>, em caso de reincidência;</w:t>
      </w:r>
    </w:p>
    <w:p w:rsidR="00151D0A" w:rsidRPr="007E0F99" w:rsidRDefault="00151D0A" w:rsidP="00151D0A">
      <w:pPr>
        <w:pStyle w:val="Corpodetexto"/>
        <w:ind w:firstLine="708"/>
        <w:rPr>
          <w:bCs/>
          <w:sz w:val="26"/>
          <w:szCs w:val="26"/>
        </w:rPr>
      </w:pPr>
      <w:r w:rsidRPr="007E0F99">
        <w:rPr>
          <w:b/>
          <w:bCs/>
          <w:sz w:val="26"/>
          <w:szCs w:val="26"/>
        </w:rPr>
        <w:t>III</w:t>
      </w:r>
      <w:r w:rsidRPr="007E0F99">
        <w:rPr>
          <w:bCs/>
          <w:sz w:val="26"/>
          <w:szCs w:val="26"/>
        </w:rPr>
        <w:t xml:space="preserve"> – </w:t>
      </w:r>
      <w:r w:rsidR="005714F7" w:rsidRPr="007E0F99">
        <w:rPr>
          <w:bCs/>
          <w:sz w:val="26"/>
          <w:szCs w:val="26"/>
        </w:rPr>
        <w:t>apreensão do equipamento, em caso de risco iminente à integridade de pedestres ou obstrução reiterada do passeio público.</w:t>
      </w:r>
    </w:p>
    <w:p w:rsidR="00151D0A" w:rsidRPr="007E0F99" w:rsidRDefault="00151D0A" w:rsidP="00151D0A">
      <w:pPr>
        <w:pStyle w:val="Corpodetexto"/>
        <w:ind w:firstLine="708"/>
        <w:rPr>
          <w:bCs/>
          <w:sz w:val="26"/>
          <w:szCs w:val="26"/>
        </w:rPr>
      </w:pPr>
      <w:r w:rsidRPr="007E0F99">
        <w:rPr>
          <w:b/>
          <w:bCs/>
          <w:sz w:val="26"/>
          <w:szCs w:val="26"/>
        </w:rPr>
        <w:t>§ 2º</w:t>
      </w:r>
      <w:r w:rsidRPr="007E0F99">
        <w:rPr>
          <w:bCs/>
          <w:sz w:val="26"/>
          <w:szCs w:val="26"/>
        </w:rPr>
        <w:t xml:space="preserve"> Os valores arrecadados com multas serão destinados a campanhas de conscientização sobre mobilidade urbana segura e proteção ao pedestre.</w:t>
      </w:r>
    </w:p>
    <w:p w:rsidR="00D80093" w:rsidRPr="007E0F99" w:rsidRDefault="00D80093" w:rsidP="00D80093">
      <w:pPr>
        <w:pStyle w:val="Corpodetexto"/>
        <w:ind w:firstLine="708"/>
        <w:rPr>
          <w:bCs/>
          <w:sz w:val="26"/>
          <w:szCs w:val="26"/>
        </w:rPr>
      </w:pPr>
      <w:r w:rsidRPr="007E0F99">
        <w:rPr>
          <w:b/>
          <w:bCs/>
          <w:sz w:val="26"/>
          <w:szCs w:val="26"/>
        </w:rPr>
        <w:t xml:space="preserve">Art. </w:t>
      </w:r>
      <w:r w:rsidRPr="007E0F99">
        <w:rPr>
          <w:b/>
          <w:bCs/>
          <w:sz w:val="26"/>
          <w:szCs w:val="26"/>
        </w:rPr>
        <w:t>4</w:t>
      </w:r>
      <w:r w:rsidRPr="007E0F99">
        <w:rPr>
          <w:b/>
          <w:bCs/>
          <w:sz w:val="26"/>
          <w:szCs w:val="26"/>
        </w:rPr>
        <w:t>º</w:t>
      </w:r>
      <w:r w:rsidRPr="007E0F99">
        <w:rPr>
          <w:bCs/>
          <w:sz w:val="26"/>
          <w:szCs w:val="26"/>
        </w:rPr>
        <w:t xml:space="preserve"> </w:t>
      </w:r>
      <w:r w:rsidRPr="007E0F99">
        <w:rPr>
          <w:bCs/>
          <w:sz w:val="26"/>
          <w:szCs w:val="26"/>
        </w:rPr>
        <w:t>Os estabelecimentos comerciais que comercializem, aluguem ou prestem serviços de manutenção em bicicletas elétricas ou em equipamentos de mobilidade individual autopropelidos, conforme definidos na Resolução CONTRAN nº 996/2023, deverão:</w:t>
      </w:r>
    </w:p>
    <w:p w:rsidR="00D80093" w:rsidRPr="007E0F99" w:rsidRDefault="00D80093" w:rsidP="00D80093">
      <w:pPr>
        <w:pStyle w:val="Corpodetexto"/>
        <w:ind w:firstLine="708"/>
        <w:rPr>
          <w:bCs/>
          <w:sz w:val="26"/>
          <w:szCs w:val="26"/>
        </w:rPr>
      </w:pPr>
      <w:r w:rsidRPr="007E0F99">
        <w:rPr>
          <w:b/>
          <w:bCs/>
          <w:sz w:val="26"/>
          <w:szCs w:val="26"/>
        </w:rPr>
        <w:t>I</w:t>
      </w:r>
      <w:r w:rsidRPr="007E0F99">
        <w:rPr>
          <w:bCs/>
          <w:sz w:val="26"/>
          <w:szCs w:val="26"/>
        </w:rPr>
        <w:t xml:space="preserve"> – afixar, em local de fácil visualização pelos clientes, cartaz informativo com os seguintes dizeres:</w:t>
      </w:r>
    </w:p>
    <w:p w:rsidR="00D80093" w:rsidRPr="007E0F99" w:rsidRDefault="00D80093" w:rsidP="00716464">
      <w:pPr>
        <w:pStyle w:val="Corpodetexto"/>
        <w:pBdr>
          <w:left w:val="single" w:sz="4" w:space="4" w:color="auto"/>
        </w:pBdr>
        <w:ind w:left="709"/>
        <w:rPr>
          <w:b/>
          <w:bCs/>
          <w:i/>
          <w:sz w:val="26"/>
          <w:szCs w:val="26"/>
        </w:rPr>
      </w:pPr>
      <w:r w:rsidRPr="007E0F99">
        <w:rPr>
          <w:b/>
          <w:bCs/>
          <w:i/>
          <w:sz w:val="26"/>
          <w:szCs w:val="26"/>
        </w:rPr>
        <w:lastRenderedPageBreak/>
        <w:t>“É proibida a circulação de bicicletas elétricas e de equipamentos de mobilidade individual autopropelidos em calçadas e passeios públicos, conforme a Lei Municipal nº ___/2025.”</w:t>
      </w:r>
    </w:p>
    <w:p w:rsidR="00D80093" w:rsidRPr="007E0F99" w:rsidRDefault="00D80093" w:rsidP="00D80093">
      <w:pPr>
        <w:pStyle w:val="Corpodetexto"/>
        <w:ind w:firstLine="708"/>
        <w:rPr>
          <w:bCs/>
          <w:sz w:val="26"/>
          <w:szCs w:val="26"/>
        </w:rPr>
      </w:pPr>
      <w:r w:rsidRPr="007E0F99">
        <w:rPr>
          <w:b/>
          <w:bCs/>
          <w:sz w:val="26"/>
          <w:szCs w:val="26"/>
        </w:rPr>
        <w:t>II</w:t>
      </w:r>
      <w:r w:rsidRPr="007E0F99">
        <w:rPr>
          <w:bCs/>
          <w:sz w:val="26"/>
          <w:szCs w:val="26"/>
        </w:rPr>
        <w:t xml:space="preserve"> – sempre que possível, informar os clientes sobre essa vedação no momento da venda, locação ou entrega do equipamento.</w:t>
      </w:r>
    </w:p>
    <w:p w:rsidR="00716464" w:rsidRPr="007E0F99" w:rsidRDefault="00716464" w:rsidP="00716464">
      <w:pPr>
        <w:pStyle w:val="Corpodetexto"/>
        <w:ind w:firstLine="708"/>
        <w:rPr>
          <w:sz w:val="26"/>
          <w:szCs w:val="26"/>
        </w:rPr>
      </w:pPr>
      <w:r w:rsidRPr="007E0F99">
        <w:rPr>
          <w:b/>
          <w:sz w:val="26"/>
          <w:szCs w:val="26"/>
        </w:rPr>
        <w:t xml:space="preserve">Parágrafo único. </w:t>
      </w:r>
      <w:r w:rsidRPr="007E0F99">
        <w:rPr>
          <w:sz w:val="26"/>
          <w:szCs w:val="26"/>
        </w:rPr>
        <w:t>O descumprimento do disposto na presente lei implicará ao infrator, às seguintes sanções administrativas:</w:t>
      </w:r>
    </w:p>
    <w:p w:rsidR="00716464" w:rsidRPr="007E0F99" w:rsidRDefault="00716464" w:rsidP="00716464">
      <w:pPr>
        <w:pStyle w:val="Corpodetexto"/>
        <w:ind w:firstLine="708"/>
        <w:rPr>
          <w:b/>
          <w:sz w:val="26"/>
          <w:szCs w:val="26"/>
        </w:rPr>
      </w:pPr>
      <w:r w:rsidRPr="007E0F99">
        <w:rPr>
          <w:b/>
          <w:sz w:val="26"/>
          <w:szCs w:val="26"/>
        </w:rPr>
        <w:t xml:space="preserve">I – </w:t>
      </w:r>
      <w:r w:rsidRPr="007E0F99">
        <w:rPr>
          <w:sz w:val="26"/>
          <w:szCs w:val="26"/>
        </w:rPr>
        <w:t>advertência;</w:t>
      </w:r>
    </w:p>
    <w:p w:rsidR="00716464" w:rsidRPr="007E0F99" w:rsidRDefault="00716464" w:rsidP="00716464">
      <w:pPr>
        <w:pStyle w:val="Corpodetexto"/>
        <w:ind w:firstLine="708"/>
        <w:rPr>
          <w:b/>
          <w:sz w:val="26"/>
          <w:szCs w:val="26"/>
        </w:rPr>
      </w:pPr>
      <w:r w:rsidRPr="007E0F99">
        <w:rPr>
          <w:b/>
          <w:sz w:val="26"/>
          <w:szCs w:val="26"/>
        </w:rPr>
        <w:t xml:space="preserve">II – </w:t>
      </w:r>
      <w:r w:rsidRPr="007E0F99">
        <w:rPr>
          <w:sz w:val="26"/>
          <w:szCs w:val="26"/>
        </w:rPr>
        <w:t>multa no valor equivalente à referência M1, constante do Anexo I, do Código Tributário Municipal.</w:t>
      </w:r>
    </w:p>
    <w:p w:rsidR="00716464" w:rsidRPr="007E0F99" w:rsidRDefault="00716464" w:rsidP="00716464">
      <w:pPr>
        <w:pStyle w:val="Corpodetexto"/>
        <w:ind w:firstLine="708"/>
        <w:rPr>
          <w:b/>
          <w:sz w:val="26"/>
          <w:szCs w:val="26"/>
        </w:rPr>
      </w:pPr>
      <w:r w:rsidRPr="007E0F99">
        <w:rPr>
          <w:b/>
          <w:sz w:val="26"/>
          <w:szCs w:val="26"/>
        </w:rPr>
        <w:t xml:space="preserve">III – </w:t>
      </w:r>
      <w:r w:rsidRPr="007E0F99">
        <w:rPr>
          <w:sz w:val="26"/>
          <w:szCs w:val="26"/>
        </w:rPr>
        <w:t>multa equivalente ao dobro do valor da anterior, em segunda reincidência;</w:t>
      </w:r>
    </w:p>
    <w:p w:rsidR="00716464" w:rsidRPr="007E0F99" w:rsidRDefault="00716464" w:rsidP="00716464">
      <w:pPr>
        <w:pStyle w:val="Corpodetexto"/>
        <w:ind w:firstLine="708"/>
        <w:rPr>
          <w:b/>
          <w:sz w:val="26"/>
          <w:szCs w:val="26"/>
        </w:rPr>
      </w:pPr>
      <w:r w:rsidRPr="007E0F99">
        <w:rPr>
          <w:b/>
          <w:sz w:val="26"/>
          <w:szCs w:val="26"/>
        </w:rPr>
        <w:t xml:space="preserve">IV – </w:t>
      </w:r>
      <w:r w:rsidRPr="007E0F99">
        <w:rPr>
          <w:sz w:val="26"/>
          <w:szCs w:val="26"/>
        </w:rPr>
        <w:t>suspensão do alvará de funcionamento do estabelecimento até que se faça sanar a infração.</w:t>
      </w:r>
    </w:p>
    <w:p w:rsidR="001B77F1" w:rsidRPr="007E0F99" w:rsidRDefault="001B77F1" w:rsidP="007078A7">
      <w:pPr>
        <w:pStyle w:val="Corpodetexto"/>
        <w:ind w:firstLine="708"/>
        <w:rPr>
          <w:color w:val="000000"/>
          <w:sz w:val="26"/>
          <w:szCs w:val="26"/>
        </w:rPr>
      </w:pPr>
      <w:r w:rsidRPr="007E0F99">
        <w:rPr>
          <w:b/>
          <w:bCs/>
          <w:sz w:val="26"/>
          <w:szCs w:val="26"/>
        </w:rPr>
        <w:t xml:space="preserve">Art. </w:t>
      </w:r>
      <w:r w:rsidR="00B1210B" w:rsidRPr="007E0F99">
        <w:rPr>
          <w:b/>
          <w:bCs/>
          <w:sz w:val="26"/>
          <w:szCs w:val="26"/>
        </w:rPr>
        <w:t>5</w:t>
      </w:r>
      <w:r w:rsidRPr="007E0F99">
        <w:rPr>
          <w:b/>
          <w:bCs/>
          <w:sz w:val="26"/>
          <w:szCs w:val="26"/>
        </w:rPr>
        <w:t>º</w:t>
      </w:r>
      <w:r w:rsidRPr="007E0F99">
        <w:rPr>
          <w:sz w:val="26"/>
          <w:szCs w:val="26"/>
        </w:rPr>
        <w:t xml:space="preserve"> Esta Lei poderá ser regulamentada para garantir sua fiel execução.</w:t>
      </w:r>
    </w:p>
    <w:p w:rsidR="001B77F1" w:rsidRPr="007E0F99" w:rsidRDefault="00B1210B" w:rsidP="001B77F1">
      <w:pPr>
        <w:pStyle w:val="Corpodetexto"/>
        <w:ind w:firstLine="708"/>
        <w:rPr>
          <w:color w:val="000000"/>
          <w:sz w:val="26"/>
          <w:szCs w:val="26"/>
        </w:rPr>
      </w:pPr>
      <w:r w:rsidRPr="007E0F99">
        <w:rPr>
          <w:b/>
          <w:sz w:val="26"/>
          <w:szCs w:val="26"/>
        </w:rPr>
        <w:t>Art. 6</w:t>
      </w:r>
      <w:r w:rsidR="001B77F1" w:rsidRPr="007E0F99">
        <w:rPr>
          <w:b/>
          <w:sz w:val="26"/>
          <w:szCs w:val="26"/>
        </w:rPr>
        <w:t>º</w:t>
      </w:r>
      <w:r w:rsidR="001B77F1" w:rsidRPr="007E0F99">
        <w:rPr>
          <w:bCs/>
          <w:sz w:val="26"/>
          <w:szCs w:val="26"/>
        </w:rPr>
        <w:t xml:space="preserve"> -</w:t>
      </w:r>
      <w:r w:rsidR="001B77F1" w:rsidRPr="007E0F99">
        <w:rPr>
          <w:b/>
          <w:sz w:val="26"/>
          <w:szCs w:val="26"/>
        </w:rPr>
        <w:t xml:space="preserve"> </w:t>
      </w:r>
      <w:r w:rsidR="001B77F1" w:rsidRPr="007E0F99">
        <w:rPr>
          <w:color w:val="000000"/>
          <w:sz w:val="26"/>
          <w:szCs w:val="26"/>
        </w:rPr>
        <w:t>Esta lei entra em vigor na data de sua publicação, revogadas as disposições em contrário.</w:t>
      </w:r>
    </w:p>
    <w:p w:rsidR="007078A7" w:rsidRPr="007E0F99" w:rsidRDefault="007078A7">
      <w:pPr>
        <w:pStyle w:val="Corpodetexto"/>
        <w:rPr>
          <w:b/>
          <w:bCs/>
          <w:sz w:val="26"/>
          <w:szCs w:val="26"/>
        </w:rPr>
      </w:pPr>
    </w:p>
    <w:p w:rsidR="009F21D7" w:rsidRPr="007E0F99" w:rsidRDefault="009F21D7">
      <w:pPr>
        <w:pStyle w:val="Corpodetexto"/>
        <w:rPr>
          <w:b/>
          <w:bCs/>
          <w:sz w:val="26"/>
          <w:szCs w:val="26"/>
        </w:rPr>
      </w:pPr>
    </w:p>
    <w:p w:rsidR="001B77F1" w:rsidRPr="007E0F99" w:rsidRDefault="009F21D7">
      <w:pPr>
        <w:pStyle w:val="Corpodetexto"/>
        <w:rPr>
          <w:color w:val="000000"/>
          <w:sz w:val="26"/>
          <w:szCs w:val="26"/>
        </w:rPr>
      </w:pPr>
      <w:r w:rsidRPr="007E0F99">
        <w:rPr>
          <w:sz w:val="26"/>
          <w:szCs w:val="26"/>
        </w:rPr>
        <w:t xml:space="preserve">Plenário </w:t>
      </w:r>
      <w:proofErr w:type="spellStart"/>
      <w:r w:rsidRPr="007E0F99">
        <w:rPr>
          <w:sz w:val="26"/>
          <w:szCs w:val="26"/>
        </w:rPr>
        <w:t>Brígido</w:t>
      </w:r>
      <w:proofErr w:type="spellEnd"/>
      <w:r w:rsidRPr="007E0F99">
        <w:rPr>
          <w:sz w:val="26"/>
          <w:szCs w:val="26"/>
        </w:rPr>
        <w:t xml:space="preserve"> Tinoco</w:t>
      </w:r>
      <w:r w:rsidRPr="007E0F99">
        <w:rPr>
          <w:color w:val="000000"/>
          <w:sz w:val="26"/>
          <w:szCs w:val="26"/>
        </w:rPr>
        <w:t>,</w:t>
      </w:r>
      <w:r w:rsidR="001B77F1" w:rsidRPr="007E0F99">
        <w:rPr>
          <w:color w:val="000000"/>
          <w:sz w:val="26"/>
          <w:szCs w:val="26"/>
        </w:rPr>
        <w:t xml:space="preserve"> </w:t>
      </w:r>
      <w:r w:rsidR="00B1210B" w:rsidRPr="007E0F99">
        <w:rPr>
          <w:color w:val="000000"/>
          <w:sz w:val="26"/>
          <w:szCs w:val="26"/>
        </w:rPr>
        <w:t>14 de maio de 2025.</w:t>
      </w:r>
    </w:p>
    <w:p w:rsidR="00A2355B" w:rsidRPr="007E0F99" w:rsidRDefault="00A2355B">
      <w:pPr>
        <w:pStyle w:val="Corpodetexto"/>
        <w:rPr>
          <w:color w:val="000000"/>
          <w:sz w:val="26"/>
          <w:szCs w:val="26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8613"/>
      </w:tblGrid>
      <w:tr w:rsidR="00A62A19" w:rsidRPr="007E0F99" w:rsidTr="007E0F99">
        <w:tc>
          <w:tcPr>
            <w:tcW w:w="8613" w:type="dxa"/>
          </w:tcPr>
          <w:p w:rsidR="002D3220" w:rsidRPr="007E0F99" w:rsidRDefault="002D3220" w:rsidP="007E0F99">
            <w:pPr>
              <w:pStyle w:val="Corpodetexto"/>
              <w:jc w:val="center"/>
              <w:rPr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7E0F99">
              <w:rPr>
                <w:b/>
                <w:noProof/>
                <w:sz w:val="26"/>
                <w:szCs w:val="26"/>
              </w:rPr>
              <w:drawing>
                <wp:inline distT="0" distB="0" distL="0" distR="0" wp14:anchorId="07B867B2" wp14:editId="486ECB24">
                  <wp:extent cx="1333500" cy="476250"/>
                  <wp:effectExtent l="0" t="0" r="0" b="0"/>
                  <wp:docPr id="2" name="Imagem 2" descr="Descrição: Uma imagem contendo desenho&#10;&#10;Descrição gerad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3" descr="Descrição: Uma imagem contendo desenho&#10;&#10;Descrição gerad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62A19" w:rsidRPr="007E0F99" w:rsidRDefault="00A62A19" w:rsidP="007E0F99">
            <w:pPr>
              <w:pStyle w:val="Corpodetexto"/>
              <w:jc w:val="center"/>
              <w:rPr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7E0F99">
              <w:rPr>
                <w:b/>
                <w:bCs/>
                <w:i/>
                <w:iCs/>
                <w:color w:val="000000"/>
                <w:sz w:val="26"/>
                <w:szCs w:val="26"/>
              </w:rPr>
              <w:t xml:space="preserve">Rodrigo </w:t>
            </w:r>
            <w:proofErr w:type="spellStart"/>
            <w:r w:rsidRPr="007E0F99">
              <w:rPr>
                <w:b/>
                <w:bCs/>
                <w:i/>
                <w:iCs/>
                <w:color w:val="000000"/>
                <w:sz w:val="26"/>
                <w:szCs w:val="26"/>
              </w:rPr>
              <w:t>Flach</w:t>
            </w:r>
            <w:proofErr w:type="spellEnd"/>
            <w:r w:rsidRPr="007E0F99">
              <w:rPr>
                <w:b/>
                <w:bCs/>
                <w:i/>
                <w:iCs/>
                <w:color w:val="000000"/>
                <w:sz w:val="26"/>
                <w:szCs w:val="26"/>
              </w:rPr>
              <w:t xml:space="preserve"> Farah</w:t>
            </w:r>
          </w:p>
          <w:p w:rsidR="00A62A19" w:rsidRPr="007E0F99" w:rsidRDefault="00A62A19" w:rsidP="007E0F99">
            <w:pPr>
              <w:pStyle w:val="Corpodetexto"/>
              <w:jc w:val="center"/>
              <w:rPr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7E0F99">
              <w:rPr>
                <w:b/>
                <w:bCs/>
                <w:i/>
                <w:iCs/>
                <w:color w:val="000000"/>
                <w:sz w:val="26"/>
                <w:szCs w:val="26"/>
              </w:rPr>
              <w:t>Vereador</w:t>
            </w:r>
          </w:p>
        </w:tc>
      </w:tr>
    </w:tbl>
    <w:p w:rsidR="0052579B" w:rsidRDefault="0052579B">
      <w:pPr>
        <w:pStyle w:val="Corpodetexto"/>
        <w:rPr>
          <w:b/>
          <w:bCs/>
          <w:i/>
          <w:iCs/>
          <w:color w:val="000000"/>
          <w:sz w:val="26"/>
          <w:szCs w:val="26"/>
        </w:rPr>
      </w:pPr>
    </w:p>
    <w:p w:rsidR="00937D68" w:rsidRDefault="00937D68">
      <w:pPr>
        <w:pStyle w:val="Corpodetexto"/>
        <w:rPr>
          <w:b/>
          <w:bCs/>
          <w:i/>
          <w:iCs/>
          <w:color w:val="000000"/>
          <w:sz w:val="26"/>
          <w:szCs w:val="26"/>
        </w:rPr>
      </w:pPr>
    </w:p>
    <w:p w:rsidR="00937D68" w:rsidRPr="00937D68" w:rsidRDefault="00937D68" w:rsidP="00937D68">
      <w:pPr>
        <w:pStyle w:val="Corpodetexto"/>
        <w:jc w:val="center"/>
        <w:rPr>
          <w:b/>
          <w:bCs/>
          <w:iCs/>
          <w:color w:val="000000"/>
          <w:sz w:val="26"/>
          <w:szCs w:val="26"/>
          <w:u w:val="single"/>
        </w:rPr>
      </w:pPr>
      <w:r w:rsidRPr="00937D68">
        <w:rPr>
          <w:b/>
          <w:bCs/>
          <w:iCs/>
          <w:color w:val="000000"/>
          <w:sz w:val="26"/>
          <w:szCs w:val="26"/>
          <w:u w:val="single"/>
        </w:rPr>
        <w:lastRenderedPageBreak/>
        <w:t>JUSTIFICATIVA</w:t>
      </w:r>
    </w:p>
    <w:p w:rsidR="00937D68" w:rsidRPr="00937D68" w:rsidRDefault="00937D68" w:rsidP="00937D68">
      <w:pPr>
        <w:pStyle w:val="Corpodetexto"/>
        <w:rPr>
          <w:b/>
          <w:bCs/>
          <w:i/>
          <w:iCs/>
          <w:color w:val="000000"/>
          <w:sz w:val="26"/>
          <w:szCs w:val="26"/>
        </w:rPr>
      </w:pPr>
    </w:p>
    <w:p w:rsidR="00937D68" w:rsidRPr="00937D68" w:rsidRDefault="00937D68" w:rsidP="00937D68">
      <w:pPr>
        <w:pStyle w:val="Corpodetexto"/>
        <w:ind w:firstLine="708"/>
        <w:rPr>
          <w:bCs/>
          <w:i/>
          <w:iCs/>
          <w:color w:val="000000"/>
          <w:sz w:val="26"/>
          <w:szCs w:val="26"/>
        </w:rPr>
      </w:pPr>
      <w:r w:rsidRPr="00937D68">
        <w:rPr>
          <w:bCs/>
          <w:i/>
          <w:iCs/>
          <w:color w:val="000000"/>
          <w:sz w:val="26"/>
          <w:szCs w:val="26"/>
        </w:rPr>
        <w:t>O presente Projeto de Lei tem como objetivo primordial reforçar a proteção à integridade física dos pedestres no Município de Niterói, diante do crescente uso indiscriminado de bicicletas elétricas e equipamentos de mobilidade individual autopropelidos em calçadas e passeios públicos.</w:t>
      </w:r>
    </w:p>
    <w:p w:rsidR="00937D68" w:rsidRPr="00937D68" w:rsidRDefault="00937D68" w:rsidP="00937D68">
      <w:pPr>
        <w:pStyle w:val="Corpodetexto"/>
        <w:ind w:firstLine="708"/>
        <w:rPr>
          <w:bCs/>
          <w:i/>
          <w:iCs/>
          <w:color w:val="000000"/>
          <w:sz w:val="26"/>
          <w:szCs w:val="26"/>
        </w:rPr>
      </w:pPr>
      <w:r w:rsidRPr="00937D68">
        <w:rPr>
          <w:bCs/>
          <w:i/>
          <w:iCs/>
          <w:color w:val="000000"/>
          <w:sz w:val="26"/>
          <w:szCs w:val="26"/>
        </w:rPr>
        <w:t xml:space="preserve">Nos últimos anos, tornou-se comum a presença desses equipamentos em áreas destinadas exclusivamente à circulação de pedestres, muitas vezes em alta velocidade e sem qualquer critério de segurança. Essa prática tem gerado conflitos de uso, insegurança cotidiana e, principalmente, </w:t>
      </w:r>
      <w:proofErr w:type="gramStart"/>
      <w:r w:rsidRPr="00937D68">
        <w:rPr>
          <w:bCs/>
          <w:i/>
          <w:iCs/>
          <w:color w:val="000000"/>
          <w:sz w:val="26"/>
          <w:szCs w:val="26"/>
        </w:rPr>
        <w:t>inúmeros</w:t>
      </w:r>
      <w:proofErr w:type="gramEnd"/>
      <w:r w:rsidRPr="00937D68">
        <w:rPr>
          <w:bCs/>
          <w:i/>
          <w:iCs/>
          <w:color w:val="000000"/>
          <w:sz w:val="26"/>
          <w:szCs w:val="26"/>
        </w:rPr>
        <w:t xml:space="preserve"> acidentes, inclusive com vítimas idosas, pessoas com deficiência e crianças, que representam o grupo mais vulnerável no espaço urbano.</w:t>
      </w:r>
    </w:p>
    <w:p w:rsidR="00937D68" w:rsidRPr="00937D68" w:rsidRDefault="00937D68" w:rsidP="00937D68">
      <w:pPr>
        <w:pStyle w:val="Corpodetexto"/>
        <w:ind w:firstLine="708"/>
        <w:rPr>
          <w:bCs/>
          <w:i/>
          <w:iCs/>
          <w:color w:val="000000"/>
          <w:sz w:val="26"/>
          <w:szCs w:val="26"/>
        </w:rPr>
      </w:pPr>
      <w:r w:rsidRPr="00937D68">
        <w:rPr>
          <w:bCs/>
          <w:i/>
          <w:iCs/>
          <w:color w:val="000000"/>
          <w:sz w:val="26"/>
          <w:szCs w:val="26"/>
        </w:rPr>
        <w:t xml:space="preserve">Apesar da Resolução CONTRAN nº 996/2023 permitir, de forma subsidiária, a circulação em calçadas a até </w:t>
      </w:r>
      <w:proofErr w:type="gramStart"/>
      <w:r w:rsidRPr="00937D68">
        <w:rPr>
          <w:bCs/>
          <w:i/>
          <w:iCs/>
          <w:color w:val="000000"/>
          <w:sz w:val="26"/>
          <w:szCs w:val="26"/>
        </w:rPr>
        <w:t>6</w:t>
      </w:r>
      <w:proofErr w:type="gramEnd"/>
      <w:r w:rsidRPr="00937D68">
        <w:rPr>
          <w:bCs/>
          <w:i/>
          <w:iCs/>
          <w:color w:val="000000"/>
          <w:sz w:val="26"/>
          <w:szCs w:val="26"/>
        </w:rPr>
        <w:t xml:space="preserve"> km/h, cabe ao Município — com base no art. 30, I e II, da Constituição Federal e no art. 2º do Código de Trânsito Brasileiro — restringir essa autorização em defesa do interesse local e da segurança pública. Em Niterói, a expansão do uso desses dispositivos sem controle tem resultado em frequentes atropelamentos leves e quedas evitáveis, que sequer chegam a ser notificados oficialmente, mas são amplamente conhecidos por quem circula diariamente pela cidade.</w:t>
      </w:r>
    </w:p>
    <w:p w:rsidR="00937D68" w:rsidRDefault="00937D68" w:rsidP="00937D68">
      <w:pPr>
        <w:pStyle w:val="Corpodetexto"/>
        <w:ind w:firstLine="708"/>
        <w:rPr>
          <w:bCs/>
          <w:i/>
          <w:iCs/>
          <w:color w:val="000000"/>
          <w:sz w:val="26"/>
          <w:szCs w:val="26"/>
        </w:rPr>
      </w:pPr>
      <w:r w:rsidRPr="00937D68">
        <w:rPr>
          <w:bCs/>
          <w:i/>
          <w:iCs/>
          <w:color w:val="000000"/>
          <w:sz w:val="26"/>
          <w:szCs w:val="26"/>
        </w:rPr>
        <w:t>A presente proposição não visa proibir o uso de bicicletas elétricas e equipamentos de mobilidade individual autopropelidos, mas sim regulamentar sua circulação de forma a garantir a segurança de todos e a organização do espaço público. A lei busca estabelecer regras claras para o uso desses veículos, direcionando sua circulação para ciclovias, ciclofaixas e vias urbanas, onde podem circular com maior segurança e sem comprometer a segurança dos pedestres.</w:t>
      </w:r>
    </w:p>
    <w:p w:rsidR="00937D68" w:rsidRPr="00937D68" w:rsidRDefault="00937D68" w:rsidP="00937D68">
      <w:pPr>
        <w:pStyle w:val="Corpodetexto"/>
        <w:ind w:firstLine="708"/>
        <w:rPr>
          <w:bCs/>
          <w:i/>
          <w:iCs/>
          <w:color w:val="000000"/>
          <w:sz w:val="26"/>
          <w:szCs w:val="26"/>
        </w:rPr>
      </w:pPr>
      <w:r w:rsidRPr="00937D68">
        <w:rPr>
          <w:bCs/>
          <w:i/>
          <w:iCs/>
          <w:color w:val="000000"/>
          <w:sz w:val="26"/>
          <w:szCs w:val="26"/>
        </w:rPr>
        <w:lastRenderedPageBreak/>
        <w:t xml:space="preserve">A proposta, portanto, visa proibir a circulação ativa desses equipamentos em todas as calçadas e passeios públicos do município, inclusive os compartilhados, excetuando apenas os casos em que o condutor esteja a pé, empurrando o equipamento — o que mantém o equilíbrio entre mobilidade alternativa e segurança urbana.  A exceção prevista para equipamentos utilizados por pessoas com deficiência ou mobilidade reduzida demonstra a preocupação com a inclusão e a acessibilidade. </w:t>
      </w:r>
    </w:p>
    <w:p w:rsidR="00937D68" w:rsidRPr="00937D68" w:rsidRDefault="00937D68" w:rsidP="00937D68">
      <w:pPr>
        <w:pStyle w:val="Corpodetexto"/>
        <w:ind w:firstLine="708"/>
        <w:rPr>
          <w:bCs/>
          <w:i/>
          <w:iCs/>
          <w:color w:val="000000"/>
          <w:sz w:val="26"/>
          <w:szCs w:val="26"/>
        </w:rPr>
      </w:pPr>
      <w:r w:rsidRPr="00937D68">
        <w:rPr>
          <w:bCs/>
          <w:i/>
          <w:iCs/>
          <w:color w:val="000000"/>
          <w:sz w:val="26"/>
          <w:szCs w:val="26"/>
        </w:rPr>
        <w:t xml:space="preserve"> Além disso, o projeto impõe dever de informação aos comerciantes, garantindo que o usuário tome ciência da restrição antes mesmo da aquisição ou uso do equipamento, e institui sanções administrativas proporcionais, assegurando efetividade sem onerar indevidamente a população.   A fiscalização do cumprimento da lei será realizada pelos órgãos e agentes do município com poder de polícia de trânsito, e as infrações estarão sujeitas a sanções administrativas, como advertência, multa e apreensão do equipamento em caso de risco iminente à integridade de pedestres ou obstrução reiterada do passeio público. </w:t>
      </w:r>
    </w:p>
    <w:p w:rsidR="00937D68" w:rsidRPr="00937D68" w:rsidRDefault="00937D68" w:rsidP="00937D68">
      <w:pPr>
        <w:pStyle w:val="Corpodetexto"/>
        <w:ind w:firstLine="708"/>
        <w:rPr>
          <w:bCs/>
          <w:i/>
          <w:iCs/>
          <w:color w:val="000000"/>
          <w:sz w:val="26"/>
          <w:szCs w:val="26"/>
        </w:rPr>
      </w:pPr>
      <w:r w:rsidRPr="00937D68">
        <w:rPr>
          <w:bCs/>
          <w:i/>
          <w:iCs/>
          <w:color w:val="000000"/>
          <w:sz w:val="26"/>
          <w:szCs w:val="26"/>
        </w:rPr>
        <w:t xml:space="preserve"> Por fim, a proposta respeita o Decreto Municipal nº 15.004/2023 e a regulamentação federal, pois não restringe a circulação em ciclovias, ciclofaixas e vias urbanas, mantendo o incentivo à mobilidade sustentável, desde que realizada com responsabilidade e respeito ao pedestre. </w:t>
      </w:r>
    </w:p>
    <w:p w:rsidR="00937D68" w:rsidRPr="00937D68" w:rsidRDefault="00937D68" w:rsidP="00937D68">
      <w:pPr>
        <w:pStyle w:val="Corpodetexto"/>
        <w:ind w:firstLine="708"/>
        <w:rPr>
          <w:bCs/>
          <w:i/>
          <w:iCs/>
          <w:color w:val="000000"/>
          <w:sz w:val="26"/>
          <w:szCs w:val="26"/>
        </w:rPr>
      </w:pPr>
      <w:bookmarkStart w:id="0" w:name="_GoBack"/>
      <w:bookmarkEnd w:id="0"/>
      <w:r w:rsidRPr="00937D68">
        <w:rPr>
          <w:bCs/>
          <w:i/>
          <w:iCs/>
          <w:color w:val="000000"/>
          <w:sz w:val="26"/>
          <w:szCs w:val="26"/>
        </w:rPr>
        <w:t>Diante da relevância da matéria e da sua contribuição direta para um trânsito mais seguro e humanizado, contamos com o apoio dos nobres pares para a aprovação desta proposição.</w:t>
      </w:r>
    </w:p>
    <w:sectPr w:rsidR="00937D68" w:rsidRPr="00937D68" w:rsidSect="005714F7">
      <w:headerReference w:type="default" r:id="rId8"/>
      <w:footerReference w:type="default" r:id="rId9"/>
      <w:pgSz w:w="11907" w:h="16840" w:code="9"/>
      <w:pgMar w:top="539" w:right="1701" w:bottom="902" w:left="1701" w:header="181" w:footer="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8C0" w:rsidRDefault="004C38C0">
      <w:r>
        <w:separator/>
      </w:r>
    </w:p>
  </w:endnote>
  <w:endnote w:type="continuationSeparator" w:id="0">
    <w:p w:rsidR="004C38C0" w:rsidRDefault="004C3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79B" w:rsidRDefault="0052579B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52579B" w:rsidTr="00837D21">
      <w:trPr>
        <w:trHeight w:val="1047"/>
      </w:trPr>
      <w:tc>
        <w:tcPr>
          <w:tcW w:w="9180" w:type="dxa"/>
          <w:shd w:val="clear" w:color="auto" w:fill="E0E0E0"/>
        </w:tcPr>
        <w:p w:rsidR="0052579B" w:rsidRDefault="0052579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24020-073</w:t>
          </w:r>
        </w:p>
        <w:p w:rsidR="0052579B" w:rsidRDefault="0052579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52579B" w:rsidRDefault="0052579B" w:rsidP="00D80093">
          <w:pPr>
            <w:pStyle w:val="Rodap"/>
            <w:jc w:val="center"/>
            <w:rPr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</w:t>
          </w:r>
          <w:hyperlink r:id="rId1" w:history="1">
            <w:r w:rsidR="00D80093" w:rsidRPr="00D80093">
              <w:rPr>
                <w:rStyle w:val="Hyperlink"/>
                <w:i/>
              </w:rPr>
              <w:t>https://rodrigofarahvereador.com.br/</w:t>
            </w:r>
          </w:hyperlink>
          <w:r w:rsidR="00D80093">
            <w:t xml:space="preserve">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hyperlink r:id="rId2" w:history="1">
            <w:r w:rsidRPr="00063512">
              <w:rPr>
                <w:rStyle w:val="Hyperlink"/>
                <w:i/>
                <w:sz w:val="20"/>
                <w:szCs w:val="20"/>
              </w:rPr>
              <w:t>contato@</w:t>
            </w:r>
            <w:r w:rsidR="00D80093" w:rsidRPr="00D80093">
              <w:rPr>
                <w:rStyle w:val="Hyperlink"/>
                <w:i/>
                <w:sz w:val="20"/>
                <w:szCs w:val="20"/>
              </w:rPr>
              <w:t>rodrigofarahvereador.com.br</w:t>
            </w:r>
          </w:hyperlink>
        </w:p>
      </w:tc>
    </w:tr>
  </w:tbl>
  <w:p w:rsidR="0052579B" w:rsidRDefault="0052579B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8C0" w:rsidRDefault="004C38C0">
      <w:r>
        <w:separator/>
      </w:r>
    </w:p>
  </w:footnote>
  <w:footnote w:type="continuationSeparator" w:id="0">
    <w:p w:rsidR="004C38C0" w:rsidRDefault="004C38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79B" w:rsidRDefault="00822731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15FA788B" wp14:editId="44EF2332">
          <wp:extent cx="657225" cy="781050"/>
          <wp:effectExtent l="0" t="0" r="9525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579B" w:rsidRDefault="0052579B">
    <w:pPr>
      <w:pStyle w:val="Cabealho"/>
      <w:jc w:val="center"/>
      <w:rPr>
        <w:rFonts w:ascii="Georgia" w:hAnsi="Georgia" w:cs="Tahoma"/>
        <w:smallCaps/>
        <w:spacing w:val="50"/>
        <w:sz w:val="30"/>
        <w:szCs w:val="30"/>
      </w:rPr>
    </w:pPr>
    <w:r>
      <w:rPr>
        <w:rFonts w:ascii="Georgia" w:hAnsi="Georgia" w:cs="Tahoma"/>
        <w:b/>
        <w:smallCaps/>
        <w:spacing w:val="50"/>
        <w:sz w:val="30"/>
        <w:szCs w:val="30"/>
        <w:u w:val="single"/>
      </w:rPr>
      <w:t>C</w:t>
    </w:r>
    <w:r>
      <w:rPr>
        <w:rFonts w:ascii="Georgia" w:hAnsi="Georgia" w:cs="Tahoma"/>
        <w:smallCaps/>
        <w:spacing w:val="50"/>
        <w:sz w:val="30"/>
        <w:szCs w:val="30"/>
        <w:u w:val="single"/>
      </w:rPr>
      <w:t>âmara</w:t>
    </w:r>
    <w:r>
      <w:rPr>
        <w:rFonts w:ascii="Georgia" w:hAnsi="Georgia" w:cs="Tahoma"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/>
        <w:smallCaps/>
        <w:spacing w:val="50"/>
        <w:sz w:val="30"/>
        <w:szCs w:val="30"/>
        <w:u w:val="single"/>
      </w:rPr>
      <w:t>M</w:t>
    </w:r>
    <w:r>
      <w:rPr>
        <w:rFonts w:ascii="Georgia" w:hAnsi="Georgia" w:cs="Tahoma"/>
        <w:smallCaps/>
        <w:spacing w:val="50"/>
        <w:sz w:val="30"/>
        <w:szCs w:val="30"/>
        <w:u w:val="single"/>
      </w:rPr>
      <w:t>unicipal</w:t>
    </w:r>
    <w:r>
      <w:rPr>
        <w:rFonts w:ascii="Georgia" w:hAnsi="Georgia" w:cs="Tahoma"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smallCaps/>
        <w:spacing w:val="50"/>
        <w:sz w:val="30"/>
        <w:szCs w:val="30"/>
        <w:u w:val="single"/>
      </w:rPr>
      <w:t>de</w:t>
    </w:r>
    <w:r>
      <w:rPr>
        <w:rFonts w:ascii="Georgia" w:hAnsi="Georgia" w:cs="Tahoma"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/>
        <w:smallCaps/>
        <w:spacing w:val="50"/>
        <w:sz w:val="30"/>
        <w:szCs w:val="30"/>
        <w:u w:val="single"/>
      </w:rPr>
      <w:t>N</w:t>
    </w:r>
    <w:r>
      <w:rPr>
        <w:rFonts w:ascii="Georgia" w:hAnsi="Georgia" w:cs="Tahoma"/>
        <w:smallCaps/>
        <w:spacing w:val="50"/>
        <w:sz w:val="30"/>
        <w:szCs w:val="30"/>
        <w:u w:val="single"/>
      </w:rPr>
      <w:t>iterói</w:t>
    </w:r>
  </w:p>
  <w:p w:rsidR="0052579B" w:rsidRDefault="0052579B">
    <w:pPr>
      <w:pStyle w:val="Cabealho"/>
      <w:jc w:val="center"/>
      <w:rPr>
        <w:rFonts w:ascii="Edwardian Script ITC" w:hAnsi="Edwardian Script ITC" w:cs="Tahoma"/>
        <w:bCs/>
        <w:i/>
        <w:smallCaps/>
        <w:sz w:val="60"/>
        <w:szCs w:val="60"/>
      </w:rPr>
    </w:pPr>
    <w:r>
      <w:rPr>
        <w:rFonts w:ascii="Edwardian Script ITC" w:hAnsi="Edwardian Script ITC" w:cs="Tahoma"/>
        <w:bCs/>
        <w:i/>
        <w:sz w:val="60"/>
        <w:szCs w:val="60"/>
      </w:rPr>
      <w:t>Gabinete do Vereador Rodrigo Farah</w:t>
    </w:r>
  </w:p>
  <w:p w:rsidR="0052579B" w:rsidRDefault="0052579B">
    <w:pPr>
      <w:pStyle w:val="Cabealho"/>
      <w:jc w:val="center"/>
      <w:rPr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7F7"/>
    <w:rsid w:val="00054D66"/>
    <w:rsid w:val="000B2470"/>
    <w:rsid w:val="000E7C9B"/>
    <w:rsid w:val="001332E4"/>
    <w:rsid w:val="00151D0A"/>
    <w:rsid w:val="001B77F1"/>
    <w:rsid w:val="002058CC"/>
    <w:rsid w:val="00292A2D"/>
    <w:rsid w:val="002D3220"/>
    <w:rsid w:val="00303119"/>
    <w:rsid w:val="00345E78"/>
    <w:rsid w:val="00355B8A"/>
    <w:rsid w:val="003A7986"/>
    <w:rsid w:val="0044208F"/>
    <w:rsid w:val="004C38C0"/>
    <w:rsid w:val="004D015C"/>
    <w:rsid w:val="004E4E94"/>
    <w:rsid w:val="00523F5C"/>
    <w:rsid w:val="0052579B"/>
    <w:rsid w:val="005607E1"/>
    <w:rsid w:val="00564E28"/>
    <w:rsid w:val="005714F7"/>
    <w:rsid w:val="005D441E"/>
    <w:rsid w:val="00606C7E"/>
    <w:rsid w:val="00653878"/>
    <w:rsid w:val="007078A7"/>
    <w:rsid w:val="00716464"/>
    <w:rsid w:val="00742064"/>
    <w:rsid w:val="007C6167"/>
    <w:rsid w:val="007E0F99"/>
    <w:rsid w:val="00822731"/>
    <w:rsid w:val="00837D21"/>
    <w:rsid w:val="00843BCD"/>
    <w:rsid w:val="00876E50"/>
    <w:rsid w:val="008A55C0"/>
    <w:rsid w:val="00937D68"/>
    <w:rsid w:val="00943EDF"/>
    <w:rsid w:val="00984C2A"/>
    <w:rsid w:val="00993D09"/>
    <w:rsid w:val="009A495B"/>
    <w:rsid w:val="009A5EBF"/>
    <w:rsid w:val="009E4775"/>
    <w:rsid w:val="009F21D7"/>
    <w:rsid w:val="00A2355B"/>
    <w:rsid w:val="00A4448F"/>
    <w:rsid w:val="00A54CB4"/>
    <w:rsid w:val="00A54FF4"/>
    <w:rsid w:val="00A62A19"/>
    <w:rsid w:val="00AA6F77"/>
    <w:rsid w:val="00AE307F"/>
    <w:rsid w:val="00AF7A73"/>
    <w:rsid w:val="00B1210B"/>
    <w:rsid w:val="00B51633"/>
    <w:rsid w:val="00B56207"/>
    <w:rsid w:val="00B63021"/>
    <w:rsid w:val="00BA561E"/>
    <w:rsid w:val="00C127A6"/>
    <w:rsid w:val="00C264C1"/>
    <w:rsid w:val="00C43238"/>
    <w:rsid w:val="00C86257"/>
    <w:rsid w:val="00D02800"/>
    <w:rsid w:val="00D057F7"/>
    <w:rsid w:val="00D80093"/>
    <w:rsid w:val="00DA7326"/>
    <w:rsid w:val="00DE4426"/>
    <w:rsid w:val="00E823EB"/>
    <w:rsid w:val="00EE3738"/>
    <w:rsid w:val="00EF2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paragraph" w:styleId="Ttulo5">
    <w:name w:val="heading 5"/>
    <w:basedOn w:val="Normal"/>
    <w:next w:val="Normal"/>
    <w:qFormat/>
    <w:rsid w:val="001B77F1"/>
    <w:pPr>
      <w:keepNext/>
      <w:jc w:val="center"/>
      <w:outlineLvl w:val="4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basedOn w:val="Fontepargpadro"/>
    <w:rPr>
      <w:color w:val="0000FF"/>
      <w:u w:val="single"/>
    </w:rPr>
  </w:style>
  <w:style w:type="character" w:styleId="Forte">
    <w:name w:val="Strong"/>
    <w:basedOn w:val="Fontepargpadro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paragraph" w:customStyle="1" w:styleId="abrirpargrafonegativo">
    <w:name w:val="abrirpargrafonegativo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MquinadeescreverHTML">
    <w:name w:val="HTML Typewriter"/>
    <w:basedOn w:val="Fontepargpadro"/>
    <w:rsid w:val="001B77F1"/>
    <w:rPr>
      <w:rFonts w:ascii="Courier New" w:eastAsia="Courier New" w:hAnsi="Courier New" w:cs="Courier New"/>
      <w:sz w:val="20"/>
      <w:szCs w:val="20"/>
    </w:rPr>
  </w:style>
  <w:style w:type="table" w:styleId="Tabelacomgrade">
    <w:name w:val="Table Grid"/>
    <w:basedOn w:val="Tabelanormal"/>
    <w:rsid w:val="00A23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F-Padro">
    <w:name w:val="STF-Padrão"/>
    <w:basedOn w:val="Normal"/>
    <w:rsid w:val="0052579B"/>
    <w:pPr>
      <w:widowControl w:val="0"/>
      <w:tabs>
        <w:tab w:val="left" w:pos="1701"/>
      </w:tabs>
      <w:autoSpaceDE w:val="0"/>
      <w:autoSpaceDN w:val="0"/>
      <w:adjustRightInd w:val="0"/>
      <w:spacing w:line="264" w:lineRule="auto"/>
      <w:ind w:firstLine="567"/>
      <w:jc w:val="both"/>
    </w:pPr>
    <w:rPr>
      <w:rFonts w:ascii="Palatino Linotype" w:cs="Palatino Linotype"/>
      <w:sz w:val="26"/>
      <w:szCs w:val="26"/>
    </w:rPr>
  </w:style>
  <w:style w:type="paragraph" w:customStyle="1" w:styleId="STF-Citao1">
    <w:name w:val="STF-Citação1"/>
    <w:basedOn w:val="Normal"/>
    <w:rsid w:val="0052579B"/>
    <w:pPr>
      <w:widowControl w:val="0"/>
      <w:autoSpaceDE w:val="0"/>
      <w:autoSpaceDN w:val="0"/>
      <w:adjustRightInd w:val="0"/>
      <w:spacing w:line="264" w:lineRule="auto"/>
      <w:ind w:left="1701" w:firstLine="567"/>
      <w:jc w:val="both"/>
    </w:pPr>
    <w:rPr>
      <w:rFonts w:ascii="Palatino Linotype" w:cs="Palatino Linotype"/>
    </w:rPr>
  </w:style>
  <w:style w:type="paragraph" w:customStyle="1" w:styleId="STF-PadroCentralizado">
    <w:name w:val="STF-PadrãoCentralizado"/>
    <w:basedOn w:val="Normal"/>
    <w:rsid w:val="0052579B"/>
    <w:pPr>
      <w:widowControl w:val="0"/>
      <w:autoSpaceDE w:val="0"/>
      <w:autoSpaceDN w:val="0"/>
      <w:adjustRightInd w:val="0"/>
      <w:spacing w:line="264" w:lineRule="auto"/>
      <w:jc w:val="center"/>
    </w:pPr>
    <w:rPr>
      <w:rFonts w:ascii="Palatino Linotype" w:cs="Palatino Linotype"/>
      <w:sz w:val="26"/>
      <w:szCs w:val="26"/>
    </w:rPr>
  </w:style>
  <w:style w:type="paragraph" w:customStyle="1" w:styleId="STF-EmentaMonocrtica">
    <w:name w:val="STF-EmentaMonocrática"/>
    <w:basedOn w:val="Normal"/>
    <w:rsid w:val="0052579B"/>
    <w:pPr>
      <w:widowControl w:val="0"/>
      <w:autoSpaceDE w:val="0"/>
      <w:autoSpaceDN w:val="0"/>
      <w:adjustRightInd w:val="0"/>
      <w:spacing w:line="264" w:lineRule="auto"/>
      <w:ind w:left="3402"/>
      <w:jc w:val="both"/>
    </w:pPr>
    <w:rPr>
      <w:rFonts w:ascii="Palatino Linotype" w:cs="Palatino Linotype"/>
      <w:sz w:val="26"/>
      <w:szCs w:val="26"/>
    </w:rPr>
  </w:style>
  <w:style w:type="paragraph" w:customStyle="1" w:styleId="STF-AssinadoDigitalmente">
    <w:name w:val="STF-AssinadoDigitalmente"/>
    <w:basedOn w:val="Normal"/>
    <w:rsid w:val="0052579B"/>
    <w:pPr>
      <w:widowControl w:val="0"/>
      <w:autoSpaceDE w:val="0"/>
      <w:autoSpaceDN w:val="0"/>
      <w:adjustRightInd w:val="0"/>
      <w:spacing w:line="264" w:lineRule="auto"/>
      <w:jc w:val="center"/>
    </w:pPr>
    <w:rPr>
      <w:rFonts w:ascii="Palatino Linotype" w:cs="Palatino Linotype"/>
      <w:i/>
      <w:iCs/>
    </w:rPr>
  </w:style>
  <w:style w:type="paragraph" w:styleId="Textodebalo">
    <w:name w:val="Balloon Text"/>
    <w:basedOn w:val="Normal"/>
    <w:link w:val="TextodebaloChar"/>
    <w:rsid w:val="00DE442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DE44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paragraph" w:styleId="Ttulo5">
    <w:name w:val="heading 5"/>
    <w:basedOn w:val="Normal"/>
    <w:next w:val="Normal"/>
    <w:qFormat/>
    <w:rsid w:val="001B77F1"/>
    <w:pPr>
      <w:keepNext/>
      <w:jc w:val="center"/>
      <w:outlineLvl w:val="4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basedOn w:val="Fontepargpadro"/>
    <w:rPr>
      <w:color w:val="0000FF"/>
      <w:u w:val="single"/>
    </w:rPr>
  </w:style>
  <w:style w:type="character" w:styleId="Forte">
    <w:name w:val="Strong"/>
    <w:basedOn w:val="Fontepargpadro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paragraph" w:customStyle="1" w:styleId="abrirpargrafonegativo">
    <w:name w:val="abrirpargrafonegativo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MquinadeescreverHTML">
    <w:name w:val="HTML Typewriter"/>
    <w:basedOn w:val="Fontepargpadro"/>
    <w:rsid w:val="001B77F1"/>
    <w:rPr>
      <w:rFonts w:ascii="Courier New" w:eastAsia="Courier New" w:hAnsi="Courier New" w:cs="Courier New"/>
      <w:sz w:val="20"/>
      <w:szCs w:val="20"/>
    </w:rPr>
  </w:style>
  <w:style w:type="table" w:styleId="Tabelacomgrade">
    <w:name w:val="Table Grid"/>
    <w:basedOn w:val="Tabelanormal"/>
    <w:rsid w:val="00A23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F-Padro">
    <w:name w:val="STF-Padrão"/>
    <w:basedOn w:val="Normal"/>
    <w:rsid w:val="0052579B"/>
    <w:pPr>
      <w:widowControl w:val="0"/>
      <w:tabs>
        <w:tab w:val="left" w:pos="1701"/>
      </w:tabs>
      <w:autoSpaceDE w:val="0"/>
      <w:autoSpaceDN w:val="0"/>
      <w:adjustRightInd w:val="0"/>
      <w:spacing w:line="264" w:lineRule="auto"/>
      <w:ind w:firstLine="567"/>
      <w:jc w:val="both"/>
    </w:pPr>
    <w:rPr>
      <w:rFonts w:ascii="Palatino Linotype" w:cs="Palatino Linotype"/>
      <w:sz w:val="26"/>
      <w:szCs w:val="26"/>
    </w:rPr>
  </w:style>
  <w:style w:type="paragraph" w:customStyle="1" w:styleId="STF-Citao1">
    <w:name w:val="STF-Citação1"/>
    <w:basedOn w:val="Normal"/>
    <w:rsid w:val="0052579B"/>
    <w:pPr>
      <w:widowControl w:val="0"/>
      <w:autoSpaceDE w:val="0"/>
      <w:autoSpaceDN w:val="0"/>
      <w:adjustRightInd w:val="0"/>
      <w:spacing w:line="264" w:lineRule="auto"/>
      <w:ind w:left="1701" w:firstLine="567"/>
      <w:jc w:val="both"/>
    </w:pPr>
    <w:rPr>
      <w:rFonts w:ascii="Palatino Linotype" w:cs="Palatino Linotype"/>
    </w:rPr>
  </w:style>
  <w:style w:type="paragraph" w:customStyle="1" w:styleId="STF-PadroCentralizado">
    <w:name w:val="STF-PadrãoCentralizado"/>
    <w:basedOn w:val="Normal"/>
    <w:rsid w:val="0052579B"/>
    <w:pPr>
      <w:widowControl w:val="0"/>
      <w:autoSpaceDE w:val="0"/>
      <w:autoSpaceDN w:val="0"/>
      <w:adjustRightInd w:val="0"/>
      <w:spacing w:line="264" w:lineRule="auto"/>
      <w:jc w:val="center"/>
    </w:pPr>
    <w:rPr>
      <w:rFonts w:ascii="Palatino Linotype" w:cs="Palatino Linotype"/>
      <w:sz w:val="26"/>
      <w:szCs w:val="26"/>
    </w:rPr>
  </w:style>
  <w:style w:type="paragraph" w:customStyle="1" w:styleId="STF-EmentaMonocrtica">
    <w:name w:val="STF-EmentaMonocrática"/>
    <w:basedOn w:val="Normal"/>
    <w:rsid w:val="0052579B"/>
    <w:pPr>
      <w:widowControl w:val="0"/>
      <w:autoSpaceDE w:val="0"/>
      <w:autoSpaceDN w:val="0"/>
      <w:adjustRightInd w:val="0"/>
      <w:spacing w:line="264" w:lineRule="auto"/>
      <w:ind w:left="3402"/>
      <w:jc w:val="both"/>
    </w:pPr>
    <w:rPr>
      <w:rFonts w:ascii="Palatino Linotype" w:cs="Palatino Linotype"/>
      <w:sz w:val="26"/>
      <w:szCs w:val="26"/>
    </w:rPr>
  </w:style>
  <w:style w:type="paragraph" w:customStyle="1" w:styleId="STF-AssinadoDigitalmente">
    <w:name w:val="STF-AssinadoDigitalmente"/>
    <w:basedOn w:val="Normal"/>
    <w:rsid w:val="0052579B"/>
    <w:pPr>
      <w:widowControl w:val="0"/>
      <w:autoSpaceDE w:val="0"/>
      <w:autoSpaceDN w:val="0"/>
      <w:adjustRightInd w:val="0"/>
      <w:spacing w:line="264" w:lineRule="auto"/>
      <w:jc w:val="center"/>
    </w:pPr>
    <w:rPr>
      <w:rFonts w:ascii="Palatino Linotype" w:cs="Palatino Linotype"/>
      <w:i/>
      <w:iCs/>
    </w:rPr>
  </w:style>
  <w:style w:type="paragraph" w:styleId="Textodebalo">
    <w:name w:val="Balloon Text"/>
    <w:basedOn w:val="Normal"/>
    <w:link w:val="TextodebaloChar"/>
    <w:rsid w:val="00DE442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DE44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026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12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tato@rodrigofarah.com" TargetMode="External"/><Relationship Id="rId1" Type="http://schemas.openxmlformats.org/officeDocument/2006/relationships/hyperlink" Target="https://rodrigofarahvereador.com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102</TotalTime>
  <Pages>5</Pages>
  <Words>1067</Words>
  <Characters>5764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6818</CharactersWithSpaces>
  <SharedDoc>false</SharedDoc>
  <HLinks>
    <vt:vector size="12" baseType="variant">
      <vt:variant>
        <vt:i4>3145728</vt:i4>
      </vt:variant>
      <vt:variant>
        <vt:i4>3</vt:i4>
      </vt:variant>
      <vt:variant>
        <vt:i4>0</vt:i4>
      </vt:variant>
      <vt:variant>
        <vt:i4>5</vt:i4>
      </vt:variant>
      <vt:variant>
        <vt:lpwstr>mailto:contato@rodrigofarah.com</vt:lpwstr>
      </vt:variant>
      <vt:variant>
        <vt:lpwstr/>
      </vt:variant>
      <vt:variant>
        <vt:i4>5570648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8</cp:revision>
  <cp:lastPrinted>2025-05-14T16:52:00Z</cp:lastPrinted>
  <dcterms:created xsi:type="dcterms:W3CDTF">2025-05-14T16:09:00Z</dcterms:created>
  <dcterms:modified xsi:type="dcterms:W3CDTF">2025-05-14T17:50:00Z</dcterms:modified>
</cp:coreProperties>
</file>