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DFAB5" w14:textId="47DAE82B" w:rsidR="008102A7" w:rsidRDefault="003A1E90" w:rsidP="003A1E90">
      <w:pPr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Niterói, </w:t>
      </w:r>
      <w:r w:rsidR="00C777FD">
        <w:rPr>
          <w:rFonts w:ascii="Arial" w:hAnsi="Arial" w:cs="Arial"/>
          <w:b/>
          <w:sz w:val="24"/>
          <w:szCs w:val="24"/>
        </w:rPr>
        <w:t>15</w:t>
      </w:r>
      <w:r w:rsidR="008102A7">
        <w:rPr>
          <w:rFonts w:ascii="Arial" w:hAnsi="Arial" w:cs="Arial"/>
          <w:b/>
          <w:sz w:val="24"/>
          <w:szCs w:val="24"/>
        </w:rPr>
        <w:t xml:space="preserve"> 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de </w:t>
      </w:r>
      <w:r w:rsidR="00B93DB5">
        <w:rPr>
          <w:rFonts w:ascii="Arial" w:hAnsi="Arial" w:cs="Arial"/>
          <w:b/>
          <w:sz w:val="24"/>
          <w:szCs w:val="24"/>
        </w:rPr>
        <w:t>abril</w:t>
      </w:r>
      <w:r w:rsidR="008102A7" w:rsidRPr="008102A7">
        <w:rPr>
          <w:rFonts w:ascii="Arial" w:hAnsi="Arial" w:cs="Arial"/>
          <w:b/>
          <w:sz w:val="24"/>
          <w:szCs w:val="24"/>
        </w:rPr>
        <w:t xml:space="preserve"> de 202</w:t>
      </w:r>
      <w:r w:rsidR="009C5400">
        <w:rPr>
          <w:rFonts w:ascii="Arial" w:hAnsi="Arial" w:cs="Arial"/>
          <w:b/>
          <w:sz w:val="24"/>
          <w:szCs w:val="24"/>
        </w:rPr>
        <w:t>5</w:t>
      </w:r>
    </w:p>
    <w:p w14:paraId="276CA8D6" w14:textId="77777777" w:rsidR="00DC0A47" w:rsidRDefault="00DC0A47" w:rsidP="00DC0A47">
      <w:pPr>
        <w:jc w:val="right"/>
        <w:rPr>
          <w:rFonts w:ascii="Arial" w:hAnsi="Arial" w:cs="Arial"/>
          <w:b/>
          <w:sz w:val="24"/>
          <w:szCs w:val="24"/>
        </w:rPr>
      </w:pPr>
    </w:p>
    <w:p w14:paraId="0E95D025" w14:textId="77777777" w:rsidR="00DC0A47" w:rsidRDefault="00DC0A47" w:rsidP="00DC0A47">
      <w:pPr>
        <w:jc w:val="right"/>
        <w:rPr>
          <w:rFonts w:ascii="Arial" w:hAnsi="Arial" w:cs="Arial"/>
          <w:b/>
          <w:sz w:val="24"/>
          <w:szCs w:val="24"/>
        </w:rPr>
      </w:pPr>
    </w:p>
    <w:p w14:paraId="245EC9F9" w14:textId="77777777" w:rsidR="00DC0A47" w:rsidRDefault="00DC0A47" w:rsidP="00DC0A47">
      <w:pPr>
        <w:jc w:val="right"/>
        <w:rPr>
          <w:rFonts w:ascii="Arial" w:hAnsi="Arial" w:cs="Arial"/>
          <w:b/>
          <w:sz w:val="24"/>
          <w:szCs w:val="24"/>
        </w:rPr>
      </w:pPr>
    </w:p>
    <w:p w14:paraId="4957BBEF" w14:textId="3C416CA7" w:rsidR="003519F0" w:rsidRPr="008102A7" w:rsidRDefault="003519F0" w:rsidP="003A1E90">
      <w:pPr>
        <w:rPr>
          <w:rFonts w:ascii="Arial" w:hAnsi="Arial" w:cs="Arial"/>
          <w:b/>
          <w:sz w:val="24"/>
          <w:szCs w:val="24"/>
        </w:rPr>
      </w:pPr>
      <w:r w:rsidRPr="008102A7">
        <w:rPr>
          <w:rFonts w:ascii="Arial" w:hAnsi="Arial" w:cs="Arial"/>
          <w:b/>
          <w:sz w:val="24"/>
          <w:szCs w:val="24"/>
        </w:rPr>
        <w:t>MENSAGEM</w:t>
      </w:r>
      <w:r w:rsidR="00353BC8">
        <w:rPr>
          <w:rFonts w:ascii="Arial" w:hAnsi="Arial" w:cs="Arial"/>
          <w:b/>
          <w:sz w:val="24"/>
          <w:szCs w:val="24"/>
        </w:rPr>
        <w:t xml:space="preserve"> EXECUTIVA</w:t>
      </w:r>
      <w:r w:rsidRPr="008102A7">
        <w:rPr>
          <w:rFonts w:ascii="Arial" w:hAnsi="Arial" w:cs="Arial"/>
          <w:b/>
          <w:sz w:val="24"/>
          <w:szCs w:val="24"/>
        </w:rPr>
        <w:t xml:space="preserve"> Nº </w:t>
      </w:r>
      <w:r w:rsidR="00B93DB5">
        <w:rPr>
          <w:rFonts w:ascii="Arial" w:hAnsi="Arial" w:cs="Arial"/>
          <w:b/>
          <w:sz w:val="24"/>
          <w:szCs w:val="24"/>
        </w:rPr>
        <w:t>14</w:t>
      </w:r>
      <w:r w:rsidRPr="008102A7">
        <w:rPr>
          <w:rFonts w:ascii="Arial" w:hAnsi="Arial" w:cs="Arial"/>
          <w:b/>
          <w:sz w:val="24"/>
          <w:szCs w:val="24"/>
        </w:rPr>
        <w:t>/</w:t>
      </w:r>
      <w:r w:rsidR="005A355B" w:rsidRPr="008102A7">
        <w:rPr>
          <w:rFonts w:ascii="Arial" w:hAnsi="Arial" w:cs="Arial"/>
          <w:b/>
          <w:sz w:val="24"/>
          <w:szCs w:val="24"/>
        </w:rPr>
        <w:t>202</w:t>
      </w:r>
      <w:r w:rsidR="009C5400">
        <w:rPr>
          <w:rFonts w:ascii="Arial" w:hAnsi="Arial" w:cs="Arial"/>
          <w:b/>
          <w:sz w:val="24"/>
          <w:szCs w:val="24"/>
        </w:rPr>
        <w:t>5</w:t>
      </w:r>
    </w:p>
    <w:p w14:paraId="45D192EB" w14:textId="77777777" w:rsidR="00441067" w:rsidRPr="008102A7" w:rsidRDefault="00441067" w:rsidP="00E1757F">
      <w:pPr>
        <w:widowControl w:val="0"/>
        <w:suppressAutoHyphens/>
        <w:autoSpaceDE w:val="0"/>
        <w:autoSpaceDN w:val="0"/>
        <w:adjustRightInd w:val="0"/>
        <w:rPr>
          <w:rFonts w:ascii="Arial" w:eastAsia="BatangChe" w:hAnsi="Arial" w:cs="Arial"/>
          <w:b/>
          <w:iCs/>
          <w:sz w:val="24"/>
          <w:szCs w:val="24"/>
        </w:rPr>
      </w:pPr>
    </w:p>
    <w:p w14:paraId="76559B23" w14:textId="77777777" w:rsidR="00B93DB5" w:rsidRPr="00B93DB5" w:rsidRDefault="00B93DB5" w:rsidP="00B93DB5">
      <w:pPr>
        <w:ind w:firstLine="708"/>
        <w:rPr>
          <w:rFonts w:ascii="Arial" w:eastAsia="BatangChe" w:hAnsi="Arial" w:cs="Arial"/>
          <w:iCs/>
          <w:sz w:val="24"/>
          <w:szCs w:val="24"/>
        </w:rPr>
      </w:pPr>
      <w:r w:rsidRPr="00B93DB5">
        <w:rPr>
          <w:rFonts w:ascii="Arial" w:eastAsia="BatangChe" w:hAnsi="Arial" w:cs="Arial"/>
          <w:iCs/>
          <w:sz w:val="24"/>
          <w:szCs w:val="24"/>
        </w:rPr>
        <w:t>Senhor Presidente,</w:t>
      </w:r>
    </w:p>
    <w:p w14:paraId="4ABD92DA" w14:textId="38F37679" w:rsidR="00B93DB5" w:rsidRPr="00B93DB5" w:rsidRDefault="00B93DB5" w:rsidP="00B93DB5">
      <w:pPr>
        <w:ind w:firstLine="708"/>
        <w:rPr>
          <w:rFonts w:ascii="Arial" w:eastAsia="BatangChe" w:hAnsi="Arial" w:cs="Arial"/>
          <w:iCs/>
          <w:sz w:val="24"/>
          <w:szCs w:val="24"/>
        </w:rPr>
      </w:pPr>
      <w:r w:rsidRPr="00B93DB5">
        <w:rPr>
          <w:rFonts w:ascii="Arial" w:eastAsia="BatangChe" w:hAnsi="Arial" w:cs="Arial"/>
          <w:iCs/>
          <w:sz w:val="24"/>
          <w:szCs w:val="24"/>
        </w:rPr>
        <w:t>Tenho a honra de submeter à deliberação dessa Egrégia Casa o incluso Projeto de Lei que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 xml:space="preserve">propõe as </w:t>
      </w:r>
      <w:r w:rsidRPr="00B93DB5">
        <w:rPr>
          <w:rFonts w:ascii="Arial" w:eastAsia="BatangChe" w:hAnsi="Arial" w:cs="Arial"/>
          <w:b/>
          <w:bCs/>
          <w:iCs/>
          <w:sz w:val="24"/>
          <w:szCs w:val="24"/>
        </w:rPr>
        <w:t>Prioridades e Diretrizes, bem como o Anexo de Metas e Riscos Fiscais, a Metodologia e o Anexo de Ações de Apoio Administrativo e Operações Especiais para o exercício financeiro de 2026</w:t>
      </w:r>
      <w:r w:rsidRPr="00B93DB5">
        <w:rPr>
          <w:rFonts w:ascii="Arial" w:eastAsia="BatangChe" w:hAnsi="Arial" w:cs="Arial"/>
          <w:iCs/>
          <w:sz w:val="24"/>
          <w:szCs w:val="24"/>
        </w:rPr>
        <w:t>, em observância ao disposto no artigo 130 da Lei Orgânica do Município de Niterói e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na Constituição Federal.</w:t>
      </w:r>
    </w:p>
    <w:p w14:paraId="78639D5F" w14:textId="390A60EF" w:rsidR="00B93DB5" w:rsidRPr="00B93DB5" w:rsidRDefault="00B93DB5" w:rsidP="00B93DB5">
      <w:pPr>
        <w:ind w:firstLine="708"/>
        <w:rPr>
          <w:rFonts w:ascii="Arial" w:eastAsia="BatangChe" w:hAnsi="Arial" w:cs="Arial"/>
          <w:iCs/>
          <w:sz w:val="24"/>
          <w:szCs w:val="24"/>
        </w:rPr>
      </w:pPr>
      <w:r w:rsidRPr="00B93DB5">
        <w:rPr>
          <w:rFonts w:ascii="Arial" w:eastAsia="BatangChe" w:hAnsi="Arial" w:cs="Arial"/>
          <w:iCs/>
          <w:sz w:val="24"/>
          <w:szCs w:val="24"/>
        </w:rPr>
        <w:t>Ressaltamos que, neste ano, devido à construção do Plano Plurianual para os próximos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quatro exercícios, o Anexo de Metas e Prioridades, que, em regra, segue junto ao PLDO,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acompanhará o projeto de lei do PPA 2026-2029, para apreciação e deliberação desta Casa, assim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como ocorrido na edição anterior.</w:t>
      </w:r>
    </w:p>
    <w:p w14:paraId="75B942BA" w14:textId="115C2115" w:rsidR="00B93DB5" w:rsidRPr="00B93DB5" w:rsidRDefault="00B93DB5" w:rsidP="00B93DB5">
      <w:pPr>
        <w:ind w:firstLine="708"/>
        <w:rPr>
          <w:rFonts w:ascii="Arial" w:eastAsia="BatangChe" w:hAnsi="Arial" w:cs="Arial"/>
          <w:iCs/>
          <w:sz w:val="24"/>
          <w:szCs w:val="24"/>
        </w:rPr>
      </w:pPr>
      <w:r w:rsidRPr="00B93DB5">
        <w:rPr>
          <w:rFonts w:ascii="Arial" w:eastAsia="BatangChe" w:hAnsi="Arial" w:cs="Arial"/>
          <w:iCs/>
          <w:sz w:val="24"/>
          <w:szCs w:val="24"/>
        </w:rPr>
        <w:t>Em sua elaboração foram contempladas através dos projetos e ações as linhas estratégicas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e as diretrizes governamentais para o período citado e, no âmbito do planejamento estratégico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desenvolvido no Município de Niterói, cabe informar que o presente Projeto guarda observância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aos preceitos e objetivos do Plano Estratégico de longo prazo “Niterói Que Queremos 2013-2033" - (NQQ).</w:t>
      </w:r>
    </w:p>
    <w:p w14:paraId="00AC3896" w14:textId="3116C257" w:rsidR="00B93DB5" w:rsidRPr="00B93DB5" w:rsidRDefault="00B93DB5" w:rsidP="00B93DB5">
      <w:pPr>
        <w:ind w:firstLine="708"/>
        <w:rPr>
          <w:rFonts w:ascii="Arial" w:eastAsia="BatangChe" w:hAnsi="Arial" w:cs="Arial"/>
          <w:iCs/>
          <w:sz w:val="24"/>
          <w:szCs w:val="24"/>
        </w:rPr>
      </w:pPr>
      <w:r w:rsidRPr="00B93DB5">
        <w:rPr>
          <w:rFonts w:ascii="Arial" w:eastAsia="BatangChe" w:hAnsi="Arial" w:cs="Arial"/>
          <w:iCs/>
          <w:sz w:val="24"/>
          <w:szCs w:val="24"/>
        </w:rPr>
        <w:t>Neste sentido, destacam-se algumas ações consideradas centrais para o Município de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Niterói nos dias de hoje, tais como: a atenção ao desenvolvimento e à mobilidade urbana,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inclusive com o incentivo ao uso de meios de transporte alternativos; o enfrentamento à violência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urbana; o avanço nos programas e ações de habitação e regularização fundiária; melhoria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na qualidade da educação e combate à evasão escolar; o incentivo à estruturação de uma cidade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inteligente e inovadora; o investimento na atenção básica de saúde; a preservação do meio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lastRenderedPageBreak/>
        <w:t>ambiente; o incentivo a políticas públicas relacionadas à sustentabilidade, o investimento em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cultura, esporte e lazer; o desenvolvimento econômico e do turismo na cidade; o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fortalecimento das políticas de assistência social, segurança alimentar e direitos humanos com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foco nos públicos mais vulneráveis do município; o estabelecimento de estratégias para tornar a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gestão pública mais inovadora, transparente e participativa.</w:t>
      </w:r>
    </w:p>
    <w:p w14:paraId="1F936576" w14:textId="2E5F0624" w:rsidR="00B93DB5" w:rsidRPr="00B93DB5" w:rsidRDefault="00B93DB5" w:rsidP="00B93DB5">
      <w:pPr>
        <w:ind w:firstLine="708"/>
        <w:rPr>
          <w:rFonts w:ascii="Arial" w:eastAsia="BatangChe" w:hAnsi="Arial" w:cs="Arial"/>
          <w:iCs/>
          <w:sz w:val="24"/>
          <w:szCs w:val="24"/>
        </w:rPr>
      </w:pPr>
      <w:r w:rsidRPr="00B93DB5">
        <w:rPr>
          <w:rFonts w:ascii="Arial" w:eastAsia="BatangChe" w:hAnsi="Arial" w:cs="Arial"/>
          <w:iCs/>
          <w:sz w:val="24"/>
          <w:szCs w:val="24"/>
        </w:rPr>
        <w:t>Em linha com o atual cenário econômico, o referido diploma legal reafirma o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compromisso com a responsabilidade fiscal, traduzido na defesa do equilíbrio das contas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públicas, reconhecidamente fundamental para dar continuidade à expansão e melhoria da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qualidade dos serviços prestados e à execução dos investimentos em andamento, propiciando o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crescimento sociocultural e econômico da cidade.</w:t>
      </w:r>
    </w:p>
    <w:p w14:paraId="037722BE" w14:textId="6416C1C8" w:rsidR="009C5400" w:rsidRPr="00412C50" w:rsidRDefault="00B93DB5" w:rsidP="00B93DB5">
      <w:pPr>
        <w:ind w:firstLine="708"/>
        <w:rPr>
          <w:rFonts w:ascii="Arial" w:hAnsi="Arial" w:cs="Arial"/>
          <w:bCs/>
          <w:sz w:val="24"/>
          <w:szCs w:val="24"/>
        </w:rPr>
      </w:pPr>
      <w:r w:rsidRPr="00B93DB5">
        <w:rPr>
          <w:rFonts w:ascii="Arial" w:eastAsia="BatangChe" w:hAnsi="Arial" w:cs="Arial"/>
          <w:iCs/>
          <w:sz w:val="24"/>
          <w:szCs w:val="24"/>
        </w:rPr>
        <w:t>Ante o exposto, encaminha-se para apreciação desta Casa o Projeto de Lei de Diretrizes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Orçamentárias para o exercício financeiro de 2026 - PLDO 2026. Deste modo, esperando contar,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mais uma vez, com o apoio e o respaldo dessa Egrégia Casa, reitero a Vossas Excelências os</w:t>
      </w:r>
      <w:r>
        <w:rPr>
          <w:rFonts w:ascii="Arial" w:eastAsia="BatangChe" w:hAnsi="Arial" w:cs="Arial"/>
          <w:iCs/>
          <w:sz w:val="24"/>
          <w:szCs w:val="24"/>
        </w:rPr>
        <w:t xml:space="preserve"> </w:t>
      </w:r>
      <w:r w:rsidRPr="00B93DB5">
        <w:rPr>
          <w:rFonts w:ascii="Arial" w:eastAsia="BatangChe" w:hAnsi="Arial" w:cs="Arial"/>
          <w:iCs/>
          <w:sz w:val="24"/>
          <w:szCs w:val="24"/>
        </w:rPr>
        <w:t>protestos de estima e consideração.</w:t>
      </w:r>
      <w:r w:rsidR="009C5400">
        <w:rPr>
          <w:rFonts w:ascii="Arial" w:hAnsi="Arial" w:cs="Arial"/>
          <w:bCs/>
          <w:sz w:val="24"/>
          <w:szCs w:val="24"/>
        </w:rPr>
        <w:t xml:space="preserve"> </w:t>
      </w:r>
    </w:p>
    <w:p w14:paraId="3F4C241D" w14:textId="77777777" w:rsidR="009C5400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  <w:szCs w:val="24"/>
        </w:rPr>
      </w:pPr>
    </w:p>
    <w:p w14:paraId="3FE6C7CB" w14:textId="77777777" w:rsidR="009C5400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  <w:szCs w:val="24"/>
        </w:rPr>
      </w:pPr>
    </w:p>
    <w:p w14:paraId="04ED1AE3" w14:textId="77777777" w:rsidR="009C5400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Cs/>
          <w:kern w:val="2"/>
          <w:sz w:val="24"/>
          <w:szCs w:val="24"/>
        </w:rPr>
      </w:pPr>
    </w:p>
    <w:p w14:paraId="6BC96113" w14:textId="77777777" w:rsidR="009C5400" w:rsidRPr="008102A7" w:rsidRDefault="009C5400" w:rsidP="009C5400">
      <w:pPr>
        <w:widowControl w:val="0"/>
        <w:suppressAutoHyphens/>
        <w:autoSpaceDE w:val="0"/>
        <w:autoSpaceDN w:val="0"/>
        <w:adjustRightInd w:val="0"/>
        <w:ind w:firstLine="708"/>
        <w:rPr>
          <w:rFonts w:ascii="Arial" w:hAnsi="Arial" w:cs="Arial"/>
          <w:b/>
          <w:kern w:val="2"/>
          <w:sz w:val="24"/>
          <w:szCs w:val="24"/>
        </w:rPr>
      </w:pPr>
    </w:p>
    <w:p w14:paraId="1AECE598" w14:textId="12E034E1" w:rsidR="006C113B" w:rsidRDefault="009C5400" w:rsidP="006C113B">
      <w:pPr>
        <w:spacing w:line="240" w:lineRule="auto"/>
        <w:contextualSpacing/>
        <w:jc w:val="center"/>
      </w:pPr>
      <w:r>
        <w:rPr>
          <w:rFonts w:ascii="Arial" w:hAnsi="Arial" w:cs="Arial"/>
          <w:b/>
          <w:bCs/>
          <w:sz w:val="24"/>
          <w:szCs w:val="24"/>
        </w:rPr>
        <w:t>Rodrigo Neves</w:t>
      </w:r>
    </w:p>
    <w:p w14:paraId="71D62888" w14:textId="5B076253" w:rsidR="00CD2F8A" w:rsidRDefault="006C113B" w:rsidP="00615C2D">
      <w:pPr>
        <w:spacing w:line="240" w:lineRule="auto"/>
        <w:contextualSpacing/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Prefeito</w:t>
      </w:r>
    </w:p>
    <w:p w14:paraId="4A5921A6" w14:textId="77777777" w:rsidR="0054626F" w:rsidRDefault="0054626F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  <w:bookmarkStart w:id="0" w:name="_Hlk182828697"/>
    </w:p>
    <w:p w14:paraId="586CA78F" w14:textId="77777777" w:rsidR="0054626F" w:rsidRDefault="0054626F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</w:p>
    <w:p w14:paraId="5B64F303" w14:textId="77777777" w:rsidR="0054626F" w:rsidRDefault="0054626F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</w:p>
    <w:p w14:paraId="4ACBA0AB" w14:textId="77777777" w:rsidR="0054626F" w:rsidRDefault="0054626F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</w:p>
    <w:p w14:paraId="00DF8D27" w14:textId="77777777" w:rsidR="0054626F" w:rsidRDefault="0054626F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</w:p>
    <w:p w14:paraId="1B36BA28" w14:textId="77777777" w:rsidR="0054626F" w:rsidRDefault="0054626F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</w:p>
    <w:p w14:paraId="1D9051B9" w14:textId="77777777" w:rsidR="0054626F" w:rsidRDefault="0054626F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</w:p>
    <w:p w14:paraId="0A2A7BC6" w14:textId="394D9EE9" w:rsidR="00C270EE" w:rsidRPr="008102A7" w:rsidRDefault="00C270EE" w:rsidP="006A071C">
      <w:pPr>
        <w:shd w:val="clear" w:color="auto" w:fill="FFFFFF"/>
        <w:spacing w:after="0"/>
        <w:rPr>
          <w:rFonts w:ascii="Arial" w:hAnsi="Arial" w:cs="Arial"/>
          <w:b/>
          <w:iCs/>
          <w:sz w:val="24"/>
          <w:szCs w:val="24"/>
        </w:rPr>
      </w:pPr>
      <w:r w:rsidRPr="008102A7">
        <w:rPr>
          <w:rFonts w:ascii="Arial" w:hAnsi="Arial" w:cs="Arial"/>
          <w:b/>
          <w:iCs/>
          <w:sz w:val="24"/>
          <w:szCs w:val="24"/>
        </w:rPr>
        <w:t>EXCELENTÍSSIMO SENHOR</w:t>
      </w:r>
      <w:r w:rsidR="00353BC8">
        <w:rPr>
          <w:rFonts w:ascii="Arial" w:hAnsi="Arial" w:cs="Arial"/>
          <w:b/>
          <w:iCs/>
          <w:sz w:val="24"/>
          <w:szCs w:val="24"/>
        </w:rPr>
        <w:t xml:space="preserve"> </w:t>
      </w:r>
      <w:r w:rsidRPr="008102A7">
        <w:rPr>
          <w:rFonts w:ascii="Arial" w:hAnsi="Arial" w:cs="Arial"/>
          <w:b/>
          <w:iCs/>
          <w:sz w:val="24"/>
          <w:szCs w:val="24"/>
        </w:rPr>
        <w:t xml:space="preserve">VEREADOR </w:t>
      </w:r>
      <w:r w:rsidR="00B366BC">
        <w:rPr>
          <w:rFonts w:ascii="Arial" w:hAnsi="Arial" w:cs="Arial"/>
          <w:b/>
          <w:iCs/>
          <w:sz w:val="24"/>
          <w:szCs w:val="24"/>
        </w:rPr>
        <w:t>MILTON CARLOS LOPES</w:t>
      </w:r>
    </w:p>
    <w:p w14:paraId="1ADB197F" w14:textId="77777777" w:rsidR="00C270EE" w:rsidRPr="008102A7" w:rsidRDefault="00C270EE" w:rsidP="006A071C">
      <w:pPr>
        <w:shd w:val="clear" w:color="auto" w:fill="FFFFFF"/>
        <w:spacing w:after="0"/>
        <w:rPr>
          <w:rFonts w:ascii="Arial" w:hAnsi="Arial" w:cs="Arial"/>
          <w:sz w:val="24"/>
          <w:szCs w:val="24"/>
        </w:rPr>
      </w:pPr>
      <w:r w:rsidRPr="008102A7">
        <w:rPr>
          <w:rFonts w:ascii="Arial" w:hAnsi="Arial" w:cs="Arial"/>
          <w:b/>
          <w:iCs/>
          <w:sz w:val="24"/>
          <w:szCs w:val="24"/>
        </w:rPr>
        <w:t>PRESIDENTE DA CÂMARA MUNICIPAL DE NITERÓI</w:t>
      </w:r>
    </w:p>
    <w:bookmarkEnd w:id="0"/>
    <w:p w14:paraId="626DEA50" w14:textId="77777777" w:rsidR="00C270EE" w:rsidRDefault="00C270EE" w:rsidP="006A071C">
      <w:pPr>
        <w:pStyle w:val="Corpo"/>
        <w:widowControl w:val="0"/>
        <w:spacing w:line="360" w:lineRule="auto"/>
        <w:ind w:left="108" w:hanging="108"/>
        <w:jc w:val="both"/>
        <w:rPr>
          <w:rStyle w:val="NenhumA"/>
          <w:rFonts w:ascii="Arial" w:hAnsi="Arial" w:cs="Arial"/>
          <w:b/>
          <w:bCs/>
          <w:u w:color="FF0000"/>
          <w:lang w:val="pt-BR"/>
        </w:rPr>
      </w:pPr>
    </w:p>
    <w:p w14:paraId="2DC2DC5A" w14:textId="5934EB39" w:rsidR="00441067" w:rsidRPr="00353BC8" w:rsidRDefault="009A326F" w:rsidP="006A071C">
      <w:pPr>
        <w:pStyle w:val="Corpo"/>
        <w:widowControl w:val="0"/>
        <w:spacing w:line="360" w:lineRule="auto"/>
        <w:ind w:left="108" w:hanging="108"/>
        <w:jc w:val="center"/>
        <w:rPr>
          <w:rFonts w:ascii="Arial" w:hAnsi="Arial" w:cs="Arial"/>
        </w:rPr>
      </w:pPr>
      <w:bookmarkStart w:id="1" w:name="_GoBack"/>
      <w:bookmarkEnd w:id="1"/>
      <w:r w:rsidRPr="00353BC8">
        <w:rPr>
          <w:rStyle w:val="NenhumA"/>
          <w:rFonts w:ascii="Arial" w:hAnsi="Arial" w:cs="Arial"/>
        </w:rPr>
        <w:lastRenderedPageBreak/>
        <w:t xml:space="preserve">PROJETO DE LEI </w:t>
      </w:r>
      <w:r w:rsidR="00441067" w:rsidRPr="00353BC8">
        <w:rPr>
          <w:rStyle w:val="NenhumA"/>
          <w:rFonts w:ascii="Arial" w:hAnsi="Arial" w:cs="Arial"/>
        </w:rPr>
        <w:t xml:space="preserve"> Nº</w:t>
      </w:r>
      <w:r w:rsidR="008102A7" w:rsidRPr="00353BC8">
        <w:rPr>
          <w:rStyle w:val="NenhumA"/>
          <w:rFonts w:ascii="Arial" w:hAnsi="Arial" w:cs="Arial"/>
        </w:rPr>
        <w:t xml:space="preserve">        , </w:t>
      </w:r>
      <w:r w:rsidR="00E32146" w:rsidRPr="00353BC8">
        <w:rPr>
          <w:rStyle w:val="NenhumA"/>
          <w:rFonts w:ascii="Arial" w:hAnsi="Arial" w:cs="Arial"/>
        </w:rPr>
        <w:t xml:space="preserve"> </w:t>
      </w:r>
      <w:r w:rsidR="008102A7" w:rsidRPr="00353BC8">
        <w:rPr>
          <w:rStyle w:val="NenhumA"/>
          <w:rFonts w:ascii="Arial" w:hAnsi="Arial" w:cs="Arial"/>
        </w:rPr>
        <w:t>DE</w:t>
      </w:r>
      <w:bookmarkStart w:id="2" w:name="_Hlk182828902"/>
      <w:r w:rsidR="008102A7" w:rsidRPr="00353BC8">
        <w:rPr>
          <w:rStyle w:val="NenhumA"/>
          <w:rFonts w:ascii="Arial" w:hAnsi="Arial" w:cs="Arial"/>
        </w:rPr>
        <w:t xml:space="preserve">            </w:t>
      </w:r>
      <w:bookmarkEnd w:id="2"/>
      <w:r w:rsidR="008102A7" w:rsidRPr="00353BC8">
        <w:rPr>
          <w:rStyle w:val="NenhumA"/>
          <w:rFonts w:ascii="Arial" w:hAnsi="Arial" w:cs="Arial"/>
        </w:rPr>
        <w:t xml:space="preserve">DE </w:t>
      </w:r>
      <w:r w:rsidR="006C113B" w:rsidRPr="00353BC8">
        <w:rPr>
          <w:rStyle w:val="NenhumA"/>
          <w:rFonts w:ascii="Arial" w:hAnsi="Arial" w:cs="Arial"/>
        </w:rPr>
        <w:t xml:space="preserve">           </w:t>
      </w:r>
      <w:r w:rsidR="008102A7" w:rsidRPr="00353BC8">
        <w:rPr>
          <w:rStyle w:val="NenhumA"/>
          <w:rFonts w:ascii="Arial" w:hAnsi="Arial" w:cs="Arial"/>
        </w:rPr>
        <w:t xml:space="preserve"> DE 2</w:t>
      </w:r>
      <w:r w:rsidR="0072010E" w:rsidRPr="00353BC8">
        <w:rPr>
          <w:rStyle w:val="NenhumA"/>
          <w:rFonts w:ascii="Arial" w:hAnsi="Arial" w:cs="Arial"/>
        </w:rPr>
        <w:t>0</w:t>
      </w:r>
      <w:r w:rsidR="00303822" w:rsidRPr="00353BC8">
        <w:rPr>
          <w:rStyle w:val="NenhumA"/>
          <w:rFonts w:ascii="Arial" w:hAnsi="Arial" w:cs="Arial"/>
        </w:rPr>
        <w:t>2</w:t>
      </w:r>
      <w:r w:rsidR="009C5400">
        <w:rPr>
          <w:rStyle w:val="NenhumA"/>
          <w:rFonts w:ascii="Arial" w:hAnsi="Arial" w:cs="Arial"/>
        </w:rPr>
        <w:t>5</w:t>
      </w:r>
    </w:p>
    <w:p w14:paraId="278C21A5" w14:textId="77777777" w:rsidR="00441067" w:rsidRDefault="00441067" w:rsidP="006A071C">
      <w:pPr>
        <w:pStyle w:val="CorpoA"/>
        <w:widowControl w:val="0"/>
        <w:spacing w:after="0" w:line="360" w:lineRule="auto"/>
        <w:jc w:val="both"/>
        <w:rPr>
          <w:rStyle w:val="NenhumA"/>
          <w:rFonts w:ascii="Arial" w:hAnsi="Arial" w:cs="Arial"/>
          <w:bCs/>
          <w:sz w:val="24"/>
          <w:szCs w:val="24"/>
        </w:rPr>
      </w:pPr>
    </w:p>
    <w:p w14:paraId="535B6C54" w14:textId="77777777" w:rsidR="00250BB1" w:rsidRPr="008102A7" w:rsidRDefault="00250BB1" w:rsidP="006A071C">
      <w:pPr>
        <w:pStyle w:val="CorpoA"/>
        <w:widowControl w:val="0"/>
        <w:spacing w:after="0" w:line="360" w:lineRule="auto"/>
        <w:jc w:val="both"/>
        <w:rPr>
          <w:rStyle w:val="NenhumA"/>
          <w:rFonts w:ascii="Arial" w:hAnsi="Arial" w:cs="Arial"/>
          <w:bCs/>
          <w:sz w:val="24"/>
          <w:szCs w:val="24"/>
        </w:rPr>
      </w:pPr>
    </w:p>
    <w:p w14:paraId="63B32B65" w14:textId="2ADE8E7D" w:rsidR="003C3892" w:rsidRDefault="00B93DB5" w:rsidP="00B93DB5">
      <w:pPr>
        <w:pStyle w:val="CorpoA"/>
        <w:widowControl w:val="0"/>
        <w:spacing w:after="0"/>
        <w:ind w:left="3969"/>
        <w:rPr>
          <w:rFonts w:ascii="Arial" w:eastAsia="Arial" w:hAnsi="Arial" w:cs="Arial"/>
          <w:sz w:val="24"/>
          <w:szCs w:val="24"/>
        </w:rPr>
      </w:pPr>
      <w:r w:rsidRPr="00B93DB5">
        <w:rPr>
          <w:rStyle w:val="NenhumA"/>
          <w:rFonts w:ascii="Arial" w:hAnsi="Arial" w:cs="Arial"/>
          <w:b/>
          <w:sz w:val="24"/>
          <w:szCs w:val="24"/>
        </w:rPr>
        <w:t>Dispõe sobre as Diretrizes Orçamentárias para o Exercício Financeiro de 2026 e dá outras</w:t>
      </w:r>
      <w:r>
        <w:rPr>
          <w:rStyle w:val="NenhumA"/>
          <w:rFonts w:ascii="Arial" w:hAnsi="Arial" w:cs="Arial"/>
          <w:b/>
          <w:sz w:val="24"/>
          <w:szCs w:val="24"/>
        </w:rPr>
        <w:t xml:space="preserve"> </w:t>
      </w:r>
      <w:r w:rsidRPr="00B93DB5">
        <w:rPr>
          <w:rStyle w:val="NenhumA"/>
          <w:rFonts w:ascii="Arial" w:hAnsi="Arial" w:cs="Arial"/>
          <w:b/>
          <w:sz w:val="24"/>
          <w:szCs w:val="24"/>
        </w:rPr>
        <w:t>providências.</w:t>
      </w:r>
    </w:p>
    <w:p w14:paraId="40635648" w14:textId="77777777" w:rsidR="00250BB1" w:rsidRDefault="00250BB1" w:rsidP="00250BB1">
      <w:pPr>
        <w:pStyle w:val="CorpoA"/>
        <w:widowControl w:val="0"/>
        <w:spacing w:after="0"/>
        <w:ind w:left="3969"/>
        <w:jc w:val="both"/>
        <w:rPr>
          <w:rFonts w:ascii="Arial" w:eastAsia="Arial" w:hAnsi="Arial" w:cs="Arial"/>
          <w:sz w:val="24"/>
          <w:szCs w:val="24"/>
        </w:rPr>
      </w:pPr>
    </w:p>
    <w:p w14:paraId="728C4FAC" w14:textId="77777777" w:rsidR="003C3892" w:rsidRPr="008102A7" w:rsidRDefault="003C3892" w:rsidP="00250BB1">
      <w:pPr>
        <w:pStyle w:val="CorpoA"/>
        <w:widowControl w:val="0"/>
        <w:spacing w:after="0"/>
        <w:ind w:left="3969"/>
        <w:jc w:val="both"/>
        <w:rPr>
          <w:rFonts w:ascii="Arial" w:eastAsia="Arial" w:hAnsi="Arial" w:cs="Arial"/>
          <w:sz w:val="24"/>
          <w:szCs w:val="24"/>
        </w:rPr>
      </w:pPr>
    </w:p>
    <w:p w14:paraId="235B0C4E" w14:textId="1A73B3B3" w:rsidR="003E12D8" w:rsidRDefault="0038411B" w:rsidP="00250BB1">
      <w:pPr>
        <w:spacing w:line="312" w:lineRule="auto"/>
        <w:rPr>
          <w:rFonts w:ascii="Arial" w:hAnsi="Arial" w:cs="Arial"/>
          <w:sz w:val="24"/>
          <w:szCs w:val="24"/>
        </w:rPr>
      </w:pPr>
      <w:bookmarkStart w:id="3" w:name="a15"/>
      <w:r w:rsidRPr="0038411B">
        <w:rPr>
          <w:rFonts w:ascii="Arial" w:hAnsi="Arial" w:cs="Arial"/>
          <w:sz w:val="24"/>
          <w:szCs w:val="24"/>
        </w:rPr>
        <w:t>A CÂMARA MUNICIPAL DE NITERÓI DECRETA E EU SANCIONO A SEGUINTE LEI:</w:t>
      </w:r>
      <w:bookmarkEnd w:id="3"/>
    </w:p>
    <w:p w14:paraId="039F5485" w14:textId="1FB3AF71" w:rsidR="00B93DB5" w:rsidRPr="00B93DB5" w:rsidRDefault="00B93DB5" w:rsidP="00B93DB5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I</w:t>
      </w:r>
    </w:p>
    <w:p w14:paraId="127A2CFD" w14:textId="77777777" w:rsidR="00B93DB5" w:rsidRPr="00B93DB5" w:rsidRDefault="00B93DB5" w:rsidP="00B93DB5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DAS DISPOSIÇÕES PRELIMINARES</w:t>
      </w:r>
    </w:p>
    <w:p w14:paraId="741CA20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1º Ficam estabelecidas as diretrizes orçamentárias do Município de Niterói para o exercício de 2026, compreendendo:</w:t>
      </w:r>
    </w:p>
    <w:p w14:paraId="097FCDC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as prioridades e metas da administração pública municipal;</w:t>
      </w:r>
    </w:p>
    <w:p w14:paraId="0705A41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a estrutura e organização dos orçamentos;</w:t>
      </w:r>
    </w:p>
    <w:p w14:paraId="7E7579B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as diretrizes para a elaboração e execução dos orçamentos do Município e suas alterações;</w:t>
      </w:r>
    </w:p>
    <w:p w14:paraId="7BCB86D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as disposições relativas à dívida pública municipal;</w:t>
      </w:r>
    </w:p>
    <w:p w14:paraId="4A01082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as despesas com pessoal e encargos sociais;</w:t>
      </w:r>
    </w:p>
    <w:p w14:paraId="24A37BF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 - as políticas de aplicação financeira para o desenvolvimento municipal;</w:t>
      </w:r>
    </w:p>
    <w:p w14:paraId="2ED88A5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VII - as disposições sobre alterações na legislação tributária; </w:t>
      </w:r>
    </w:p>
    <w:p w14:paraId="444078A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VIII – as disposições sobre transparência; e</w:t>
      </w:r>
    </w:p>
    <w:p w14:paraId="7862B12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IX - as disposições finais.</w:t>
      </w:r>
    </w:p>
    <w:p w14:paraId="551E3EC1" w14:textId="3CA747C5" w:rsidR="00B93DB5" w:rsidRPr="00B93DB5" w:rsidRDefault="00B93DB5" w:rsidP="00B93DB5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II</w:t>
      </w:r>
    </w:p>
    <w:p w14:paraId="045A643C" w14:textId="77777777" w:rsidR="00B93DB5" w:rsidRPr="00B93DB5" w:rsidRDefault="00B93DB5" w:rsidP="00B93DB5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lastRenderedPageBreak/>
        <w:t>DAS PRIORIDADES E METAS DA ADMINISTRAÇÃO PÚBLICA MUNICIPAL</w:t>
      </w:r>
    </w:p>
    <w:p w14:paraId="6AF7580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       Art. 2º   A elaboração e a aprovação do Projeto de Lei Orçamentária de 2026, bem como a execução da respectiva Lei, deverão ser compatíveis com a obtenção da meta de superávit primário para o setor público consolidado não financeiro para os Orçamentos Fiscal e da Seguridade Social do Município, conforme demonstrado no Anexo de Metas Fiscais constante do Anexo III.</w:t>
      </w:r>
    </w:p>
    <w:p w14:paraId="2DF8D91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          § 1º As prioridades e as metas da administração pública municipal para o exercício de 2026, atendidas as despesas de funcionamento dos órgãos e das entidades que integram os Orçamentos Fiscal e da Seguridade Social, correspondem aos programas, ações, produtos e suas respectivas metas, a serem enviadas em Anexo próprio em conjunto ao Projeto de Lei do Plano Plurianual 2026-2029, conforme artigo 54º desta lei.</w:t>
      </w:r>
    </w:p>
    <w:p w14:paraId="3EAC107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        § 2º Os programas incluídos no Anexo II guardam consonância com os objetivos do Planejamento Estratégico de Longo Prazo da cidade de Niterói, por meio do Plano "Niterói Que Queremos".</w:t>
      </w:r>
    </w:p>
    <w:p w14:paraId="2261E51F" w14:textId="1A7604EA" w:rsidR="00B93DB5" w:rsidRPr="00B93DB5" w:rsidRDefault="00B93DB5" w:rsidP="00B93DB5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III</w:t>
      </w:r>
    </w:p>
    <w:p w14:paraId="209F8F82" w14:textId="77777777" w:rsidR="00B93DB5" w:rsidRPr="00B93DB5" w:rsidRDefault="00B93DB5" w:rsidP="00B93DB5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 ESTRUTURA E ORGANIZAÇÃO DOS ORÇAMENTOS</w:t>
      </w:r>
    </w:p>
    <w:p w14:paraId="24513F6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3º Para efeito desta Lei, entende-se por:</w:t>
      </w:r>
    </w:p>
    <w:p w14:paraId="5BF914D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categoria de programação: a estrutura de classificação utilizada para identificar órgãos e unidades orçamentárias, programas e projetos/atividades;</w:t>
      </w:r>
    </w:p>
    <w:p w14:paraId="7DA1B3E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unidade orçamentária: o menor nível da classificação institucional;</w:t>
      </w:r>
    </w:p>
    <w:p w14:paraId="3F7F946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órgão orçamentário: o maior nível da classificação institucional, que tem por finalidade agrupar unidades orçamentárias;</w:t>
      </w:r>
    </w:p>
    <w:p w14:paraId="1C6D64C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– programa: instrumento de organização da atuação governamental que articula um conjunto de ações com o objetivo de superar os desafios e alcançar os resultados desejados, buscando atender as demandas da sociedade ou, ainda, criar oportunidades de desenvolvimento e crescimento para a cidade;</w:t>
      </w:r>
    </w:p>
    <w:p w14:paraId="2BBFD79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V - projeto: instrumento de programação utilizado para alcançar o objetivo de um programa, envolvendo um conjunto de operações, limitadas no tempo, das quais resulta um produto que concorre para a expansão ou o aperfeiçoamento da ação de governo;</w:t>
      </w:r>
    </w:p>
    <w:p w14:paraId="79BECFF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 - atividade: instrumento de programação utilizado para alcançar o objetivo de um programa, envolvendo um conjunto de operações que se realizam de modo contínuo e permanente, das quais resulta um produto ou serviço necessário à manutenção da ação de governo;</w:t>
      </w:r>
    </w:p>
    <w:p w14:paraId="283DFAB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 - operação especial: correspondendo a ações que não contribuem para a manutenção, a expansão ou o aperfeiçoamento da atuação governamental, não resultando um produto ou contraprestação direta sob a forma de bens ou serviços;</w:t>
      </w:r>
    </w:p>
    <w:p w14:paraId="6CC84E9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VIII – produto: o bem ou o serviço resultante da ação orçamentária;</w:t>
      </w:r>
    </w:p>
    <w:p w14:paraId="5B7AF5D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IX - unidade de medida: o instrumento utilizado para quantificar e expressar as características do produto;</w:t>
      </w:r>
    </w:p>
    <w:p w14:paraId="1735A84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 - meta física: a quantidade estimada para o produto no exercício financeiro;</w:t>
      </w:r>
    </w:p>
    <w:p w14:paraId="008457C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XI - modalidade de aplicação: indica se os recursos serão aplicados diretamente pela unidade detentora do crédito orçamentário ou indiretamente por outras esferas de governo ou outros entes da Federação ou entidades privadas.</w:t>
      </w:r>
    </w:p>
    <w:p w14:paraId="7027129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1º Cada programa identificará as ações necessárias para atingir os seus objetivos, especificando os respectivos valores;</w:t>
      </w:r>
    </w:p>
    <w:p w14:paraId="2600899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2º A ação orçamentária, entendida como projeto/atividade/operação especial, deve identificar a função e a subfunção à qual se vincula, sendo que:</w:t>
      </w:r>
    </w:p>
    <w:p w14:paraId="7DAB325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– a função reflete a competência institucional do órgão ou, no caso de órgão com mais de uma competência, aquela mais relacionada com a ação; e</w:t>
      </w:r>
    </w:p>
    <w:p w14:paraId="2BB7B85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– a subfunção, nível de agregação imediatamente inferior à função, deve evidenciar a natureza da atuação governamental.</w:t>
      </w:r>
    </w:p>
    <w:p w14:paraId="4228591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Art. 4º O orçamento compreenderá as receitas e despesas referentes aos Poderes Legislativo e Executivo, seus Fundos, Autarquias e Fundações, instituídas ou mantidas pelo Poder Público Municipal, além das dotações pertinentes às Empresas e Sociedades de Economia Mista em que o Município, direta ou indiretamente, detenha maioria do capital social com direito a voto e que recebam recursos do Tesouro Municipal, devendo a correspondente execução orçamentária e financeira, da receita e da despesa, ser registrada no Sistema e-Cidade.</w:t>
      </w:r>
    </w:p>
    <w:p w14:paraId="20EEC5F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Parágrafo único. Excluem-se do disposto neste artigo as fundações públicas de direito privado, bem como as empresas públicas ou as sociedades de economia mista que recebam recursos do Município apenas em virtude de:</w:t>
      </w:r>
    </w:p>
    <w:p w14:paraId="032E2D5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participação acionária;</w:t>
      </w:r>
    </w:p>
    <w:p w14:paraId="1D8E1F7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fornecimento de bens ou prestação de serviços;</w:t>
      </w:r>
    </w:p>
    <w:p w14:paraId="7059452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pagamento de empréstimos e financiamentos concedidos.</w:t>
      </w:r>
    </w:p>
    <w:p w14:paraId="2BBE2FB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5º Os Orçamentos Fiscal e da Seguridade Social discriminarão a despesa por unidade orçamentária, com suas categorias de programação detalhadas no menor nível, com as suas dotações respectivas, especificando a esfera orçamentária, o GND (Grupo de Natureza da Despesa), o identificador de resultado primário, a modalidade de aplicação e a fonte de recursos.</w:t>
      </w:r>
    </w:p>
    <w:p w14:paraId="3A38B3B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1º   A esfera orçamentária tem por finalidade identificar se o orçamento é Fiscal (F) e da Seguridade Social (S).</w:t>
      </w:r>
    </w:p>
    <w:p w14:paraId="2C53CE4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2º Os Grupos de Natureza de Despesa - GND constituem agregação de elementos de despesa de mesmas características quanto ao objeto de gasto, sendo subdivididos em:</w:t>
      </w:r>
    </w:p>
    <w:p w14:paraId="261D15E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pessoal e encargos sociais (GND 1);</w:t>
      </w:r>
    </w:p>
    <w:p w14:paraId="44DDAA1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juros e encargos da dívida (GND 2);</w:t>
      </w:r>
    </w:p>
    <w:p w14:paraId="06D2FB2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III - outras despesas correntes (GND 3); </w:t>
      </w:r>
    </w:p>
    <w:p w14:paraId="66FA46A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IV - investimentos (GND 4);</w:t>
      </w:r>
    </w:p>
    <w:p w14:paraId="2A768BE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inversões financeiras, incluídas as despesas referentes à constituição ou ao aumento de capital de empresas (GND 5); e</w:t>
      </w:r>
    </w:p>
    <w:p w14:paraId="20E1FF1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 - amortização da dívida (GND 6).</w:t>
      </w:r>
    </w:p>
    <w:p w14:paraId="190353C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 - A Reserva de Contingência, prevista no art. 19, será classificada no GND 9.</w:t>
      </w:r>
    </w:p>
    <w:p w14:paraId="2FB26F0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§ 3º O identificador de Resultado Primário (RP) tem como finalidade auxiliar a apuração do resultado primário, devendo constar do Projeto de Lei Orçamentária de 2026 com todos os </w:t>
      </w:r>
      <w:proofErr w:type="spellStart"/>
      <w:r w:rsidRPr="00B93DB5">
        <w:rPr>
          <w:rFonts w:ascii="Arial" w:hAnsi="Arial" w:cs="Arial"/>
          <w:sz w:val="24"/>
          <w:szCs w:val="24"/>
        </w:rPr>
        <w:t>GNDs</w:t>
      </w:r>
      <w:proofErr w:type="spellEnd"/>
      <w:r w:rsidRPr="00B93DB5">
        <w:rPr>
          <w:rFonts w:ascii="Arial" w:hAnsi="Arial" w:cs="Arial"/>
          <w:sz w:val="24"/>
          <w:szCs w:val="24"/>
        </w:rPr>
        <w:t>, identificando, se a despesa é: </w:t>
      </w:r>
    </w:p>
    <w:p w14:paraId="6B5B63E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financeira (RP 0);</w:t>
      </w:r>
    </w:p>
    <w:p w14:paraId="2C14330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 –  primária e considerada na apuração do resultado primário para cumprimento da meta, sendo:</w:t>
      </w:r>
    </w:p>
    <w:p w14:paraId="1DF6E16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a) obrigatória (RP 1);</w:t>
      </w:r>
    </w:p>
    <w:p w14:paraId="2330D21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b) discricionária (RP 2);</w:t>
      </w:r>
    </w:p>
    <w:p w14:paraId="22F8179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4º A Modalidade de Aplicação - MA destina-se a indicar se os recursos serão aplicados:</w:t>
      </w:r>
    </w:p>
    <w:p w14:paraId="22ACE86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diretamente, pela unidade detentora do crédito orçamentário ou, em decorrência de descentralização de crédito orçamentário, por outro órgão ou entidade integrante dos Orçamentos Fiscal ou da Seguridade Social;</w:t>
      </w:r>
    </w:p>
    <w:p w14:paraId="5E5C58E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indiretamente, mediante transferência, por outras esferas de governo, seus órgãos, fundos ou entidades ou por entidades privadas, ou</w:t>
      </w:r>
    </w:p>
    <w:p w14:paraId="17CBC3E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Transferências à União (MA 20);</w:t>
      </w:r>
    </w:p>
    <w:p w14:paraId="7F2745E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Transferências a Estados e ao Distrito Federal (MA 30);</w:t>
      </w:r>
    </w:p>
    <w:p w14:paraId="20B2096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Transferências a Instituições Privadas sem Fins Lucrativos (MA 50);</w:t>
      </w:r>
    </w:p>
    <w:p w14:paraId="691FCE1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VI - Aplicações Diretas (MA 90); e</w:t>
      </w:r>
    </w:p>
    <w:p w14:paraId="04325D7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 - Aplicação Direta Decorrente de Operação entre Órgãos, Fundos e Entidades Integrantes dos Orçamentos Fiscal e da Seguridade Social (MA 91).</w:t>
      </w:r>
    </w:p>
    <w:p w14:paraId="1B38638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VIII - O empenho da despesa não poderá ser realizado com modalidade de aplicação “a definir” (MA 99).</w:t>
      </w:r>
    </w:p>
    <w:p w14:paraId="5D4F7FA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IX - É vedada a execução orçamentária de programação que utilize a designação “a definir” ou outra que não permita a sua identificação precisa.</w:t>
      </w:r>
    </w:p>
    <w:p w14:paraId="4DE0C6F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6º Os órgãos e as entidades integrantes dos Orçamentos Fiscal e da Seguridade Social deverão disponibilizar no Sistema e-Cidade informações referentes aos contratos, ou instrumentos congêneres firmados, inclusive com a identificação das respectivas categorias de programação e fontes de recursos, observadas as normas estabelecidas pelo Poder Executivo.</w:t>
      </w:r>
    </w:p>
    <w:p w14:paraId="34D7104A" w14:textId="3EC532C5" w:rsidR="00B93DB5" w:rsidRPr="00B93DB5" w:rsidRDefault="00B93DB5" w:rsidP="00B93DB5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IV</w:t>
      </w:r>
    </w:p>
    <w:p w14:paraId="3998B94E" w14:textId="77777777" w:rsidR="00B93DB5" w:rsidRPr="00B93DB5" w:rsidRDefault="00B93DB5" w:rsidP="00B93DB5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DAS DIRETRIZES PARA A ELABORAÇÃO E EXECUÇÃO DOS ORÇAMENTOS DO MUNICÍPIO E SUAS ALTERAÇÕES</w:t>
      </w:r>
    </w:p>
    <w:p w14:paraId="3309B7AF" w14:textId="77777777" w:rsidR="00B93DB5" w:rsidRPr="00B93DB5" w:rsidRDefault="00B93DB5" w:rsidP="00B93DB5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Seção I</w:t>
      </w:r>
    </w:p>
    <w:p w14:paraId="16D87FF4" w14:textId="77777777" w:rsidR="00B93DB5" w:rsidRPr="00B93DB5" w:rsidRDefault="00B93DB5" w:rsidP="00B93DB5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Diretrizes Gerais</w:t>
      </w:r>
    </w:p>
    <w:p w14:paraId="0AB1832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7º As propostas orçamentárias do Poder Legislativo, Administração Direta, Autarquias, Fundações, Empresas Públicas, Sociedade de Economia Mista e Fundos Especiais, deverão ser elaboradas na forma e conteúdo estabelecido nesta Lei, em consonância com as disposições sobre a matéria, contidas na Lei Federal nº 4.320, de 17 de março de 1964, na Lei Federal Complementar nº 101, de 4 de maio de 2000 - Lei de Responsabilidade Fiscal (LRF) e na Lei Orgânica Municipal.</w:t>
      </w:r>
    </w:p>
    <w:p w14:paraId="5700CB3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8º O projeto de Lei Orçamentária Anual, conforme estabelecido no § 5º do art. 165 da Constituição Federal, na Lei Federal nº 4.320, de 1964, no art. 5º da LRF e no inciso III do § 4º do art. 131 da Lei Orgânica do Município de Niterói, será encaminhado à Câmara Municipal até 30 de setembro de 2025 e será composto de:</w:t>
      </w:r>
    </w:p>
    <w:p w14:paraId="54805C8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mensagem ao Poder Legislativo;</w:t>
      </w:r>
    </w:p>
    <w:p w14:paraId="5B6ADB0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II - projeto de lei; e</w:t>
      </w:r>
    </w:p>
    <w:p w14:paraId="2D61343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quadros orçamentários consolidados.</w:t>
      </w:r>
    </w:p>
    <w:p w14:paraId="051C32C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1º Integrarão a consolidação dos quadros orçamentários a que se refere o inciso III, deste artigo, os seguintes demonstrativos:</w:t>
      </w:r>
    </w:p>
    <w:p w14:paraId="25D533F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da receita e despesa do Município segundo as categorias econômicas, isolada e conjuntamente, evidenciando o equilíbrio orçamentário, conforme Anexo I da Lei nº 4.320, de 1964;</w:t>
      </w:r>
    </w:p>
    <w:p w14:paraId="7F36861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do resumo da estimativa da receita total do Município, por categoria econômica e rubrica;</w:t>
      </w:r>
    </w:p>
    <w:p w14:paraId="69C3A6A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do resumo da receita do orçamento, por rubrica e fontes;</w:t>
      </w:r>
    </w:p>
    <w:p w14:paraId="11DE383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da fixação da despesa pelas funções, segundo as categorias econômicas;</w:t>
      </w:r>
    </w:p>
    <w:p w14:paraId="151EF85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da fixação da despesa pelas unidades orçamentárias, segundo as categorias econômicas;</w:t>
      </w:r>
    </w:p>
    <w:p w14:paraId="6028CB3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 - da fixação da despesa pelas unidades orçamentárias, segundo as funções;</w:t>
      </w:r>
    </w:p>
    <w:p w14:paraId="1809A32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 - da aplicação dos recursos na manutenção e desenvolvimento do ensino nos termos do art. 212 da Constituição Federal;</w:t>
      </w:r>
    </w:p>
    <w:p w14:paraId="44C4C74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VIII - discriminação da legislação básica da receita;</w:t>
      </w:r>
    </w:p>
    <w:p w14:paraId="4C1E3D9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IX - descrição sucinta, para cada unidade orçamentária, de suas principais finalidades com respectiva legislação;</w:t>
      </w:r>
    </w:p>
    <w:p w14:paraId="3F2DD6A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 - as despesas, discriminadas na forma prevista no art. 5º e nos demais dispositivos desta Lei;</w:t>
      </w:r>
    </w:p>
    <w:p w14:paraId="5C905D6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XI - da evolução da receita, por fonte, com colunas distintas para a receita efetivamente arrecadada no exercício anterior à elaboração da proposta, a prevista </w:t>
      </w:r>
      <w:r w:rsidRPr="00B93DB5">
        <w:rPr>
          <w:rFonts w:ascii="Arial" w:hAnsi="Arial" w:cs="Arial"/>
          <w:sz w:val="24"/>
          <w:szCs w:val="24"/>
        </w:rPr>
        <w:lastRenderedPageBreak/>
        <w:t>para o exercício em que se elabora a proposta e a prevista para o exercício a que se refere a proposta;</w:t>
      </w:r>
    </w:p>
    <w:p w14:paraId="295BC34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XII - da evolução da despesa, por órgão orçamentário, com colunas distintas para a despesa realizada no exercício anterior à elaboração da proposta, a fixada para o exercício em que se elabora a proposta e a prevista para o exercício a que se refere a proposta;</w:t>
      </w:r>
    </w:p>
    <w:p w14:paraId="405F87F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XIII - das ações orçamentárias e produtos, conforme definidos nas demais peças de planejamento;</w:t>
      </w:r>
    </w:p>
    <w:p w14:paraId="2BEFA3F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2º Os anexos da despesa previstos no inciso X do § 1º do caput deverão conter, no Projeto de Lei Orçamentária, quadros-síntese por órgão e unidade orçamentária, discriminando os valores por função e fonte de recursos.</w:t>
      </w:r>
    </w:p>
    <w:p w14:paraId="2370F12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3º Serão disponibilizados na internet os anexos da despesa previstos inciso X do § 1º do caput até 30 dias após a sanção da Lei Orçamentária Anual.</w:t>
      </w:r>
    </w:p>
    <w:p w14:paraId="3EE10DA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4º A mensagem que encaminhar o projeto de Lei Orçamentária conterá:</w:t>
      </w:r>
    </w:p>
    <w:p w14:paraId="5AD5DCB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resumo da política econômica e social do governo municipal;</w:t>
      </w:r>
    </w:p>
    <w:p w14:paraId="59814DE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justificativa da estimativa da receita e da fixação da despesa;</w:t>
      </w:r>
    </w:p>
    <w:p w14:paraId="509615D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memória de cálculo da estimativa da receita; e</w:t>
      </w:r>
    </w:p>
    <w:p w14:paraId="28D1D10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explicativo do efeito sobre as receitas e despesas decorrentes de isenções, anistias, remissões, na forma disposta no inciso II do art. 5º da Lei Complementar Federal nº 101, de 4 de maio de 2000, Lei de Responsabilidade Fiscal - LRF.</w:t>
      </w:r>
    </w:p>
    <w:p w14:paraId="144C91D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5º A estimativa referida no inciso II do § 4º do caput será elaborada a preços correntes, explicitada a metodologia utilizada para sua atualização.</w:t>
      </w:r>
    </w:p>
    <w:p w14:paraId="5882F96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9º Somente poderão ser incluídas no projeto de Lei Orçamentária, dotações relativas às operações de crédito contratadas ou autorizadas até a data do encaminhamento do projeto ao Poder Legislativo.</w:t>
      </w:r>
    </w:p>
    <w:p w14:paraId="33A7F07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Art. 10 A coleta de dados das propostas orçamentárias, seu processamento e sua consolidação no Projeto de Lei do Orçamento serão realizados pela Secretaria Municipal de Planejamento, Orçamento e Modernização da Gestão (SEPLAG), por meio do Sistema e-Cidade.</w:t>
      </w:r>
    </w:p>
    <w:p w14:paraId="4CC1CB1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11 A proposta orçamentária do Município para 2026 deverá estar compatível com o Plano Plurianual, em observância ao disposto no art. 165 da Constituição e no caput do art. 5º da LRF, e será elaborada de acordo com as seguintes orientações gerais: </w:t>
      </w:r>
    </w:p>
    <w:p w14:paraId="41992FD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promover a efetiva integração entre os Poderes e diferentes esferas de Governo, estimulando a participação de toda a sociedade;</w:t>
      </w:r>
    </w:p>
    <w:p w14:paraId="2CCCEF9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promover a cidadania digital;</w:t>
      </w:r>
    </w:p>
    <w:p w14:paraId="4D1085A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adotar ações que visem a melhoria dos indicadores de educação;</w:t>
      </w:r>
    </w:p>
    <w:p w14:paraId="0DE4B6B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investir em projetos que fomentem a melhoria da qualidade da atenção básica de saúde;</w:t>
      </w:r>
    </w:p>
    <w:p w14:paraId="1A42F3F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alavancar a vocação natural do Município para o turismo;</w:t>
      </w:r>
    </w:p>
    <w:p w14:paraId="1595D78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 - potencializar boas opções de cultura, esporte e lazer;</w:t>
      </w:r>
    </w:p>
    <w:p w14:paraId="307ACBA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 - adotar e fortalecer mecanismos para o enfrentamento à violência urbana; </w:t>
      </w:r>
    </w:p>
    <w:p w14:paraId="71E3D5E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VIII - mapear, elaborar projetos e captar recursos para a melhoria da infraestrutura urbana, construção de habitações de interesse social e gestão de riscos;</w:t>
      </w:r>
    </w:p>
    <w:p w14:paraId="4C91F20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IX - incentivar a preservação do meio ambiente, com atenção especial à gestão e destinação final de resíduos sólidos, ao fortalecimento de Unidades de Conservação e à recuperação dos sistemas lagunares;</w:t>
      </w:r>
    </w:p>
    <w:p w14:paraId="15FE109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 - captar recursos que visem a implantação de projetos de melhoria da gestão e mobilidade urbana;</w:t>
      </w:r>
    </w:p>
    <w:p w14:paraId="4ECE5C5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XI - fortalecer as ações de atenção à população em situação de rua, qualificando as equipes envolvidas; </w:t>
      </w:r>
    </w:p>
    <w:p w14:paraId="5DB99BB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XII - garantir a transparência, por meio da divulgação de informações sobre a execução orçamentária e financeira;</w:t>
      </w:r>
    </w:p>
    <w:p w14:paraId="3497D66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XIII - garantir a oferta de serviços e políticas sociais públicas voltadas para a proteção à infância e à juventude;</w:t>
      </w:r>
    </w:p>
    <w:p w14:paraId="400A2C1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XIV - fortalecer a proteção de grupos socialmente vulneráveis; </w:t>
      </w:r>
    </w:p>
    <w:p w14:paraId="6149C73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XV - potencializar ações de desenvolvimento econômico do Município;</w:t>
      </w:r>
    </w:p>
    <w:p w14:paraId="666D766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XVI - garantir ações para prevenção e mitigação dos impactos frente às mudanças climáticas;</w:t>
      </w:r>
    </w:p>
    <w:p w14:paraId="1064484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XVII - fortalecer a estrutura, a coleta de dados e o gerenciamento dos recursos e ativos para transformação digital.</w:t>
      </w:r>
    </w:p>
    <w:p w14:paraId="7236879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12 As entidades beneficiadas com os recursos públicos previstos nesta Lei, a qualquer título, submeter-se-ão à fiscalização do Poder Executivo com a finalidade de verificar o cumprimento dos objetivos para os quais receberam os recursos, observado o disposto na Lei Federal Complementar nº 131, de 27 de maio de 2009 e na LRF.</w:t>
      </w:r>
    </w:p>
    <w:p w14:paraId="30FD837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13 Não se aplicam às empresas e sociedades de economia mista não dependentes, integrantes do Orçamento de Investimento, as normas gerais da Lei Federal  nº 4.320,  de  1964, no que concerne ao regime contábil, à execução do orçamento e ao demonstrativo de resultado.</w:t>
      </w:r>
    </w:p>
    <w:p w14:paraId="08A9B97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14 A Lei Orçamentária poderá conter autorização para contratação de operação de crédito, ainda que por antecipação de receita, e para abertura de créditos suplementares, observado o disposto no inciso III do art. 167 da Constituição Federal, na LRF e na Lei Federal nº 4.320, de 1964.</w:t>
      </w:r>
    </w:p>
    <w:p w14:paraId="723CAB0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Parágrafo único. A contratação de operações de crédito será limitada ao atendimento das necessidades relativas:</w:t>
      </w:r>
    </w:p>
    <w:p w14:paraId="1C7ADAA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I - ao serviço da dívida e do seu refinanciamento;</w:t>
      </w:r>
    </w:p>
    <w:p w14:paraId="3022224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aos investimentos prioritários e à execução dos serviços essenciais;</w:t>
      </w:r>
    </w:p>
    <w:p w14:paraId="288A358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15 A avaliação e o acompanhamento da gestão orçamentária, financeira e patrimonial, de que trata o § 3º do art. 50 da LRF, serão desenvolvidos de forma a apurar os gastos dos serviços, mediante análise de economicidade e estabelecimento de métricas comparativas.</w:t>
      </w:r>
    </w:p>
    <w:p w14:paraId="5933F17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16 A Lei Orçamentária discriminará os recursos do Município e a transferência de recursos da União e do Estado, destinado à execução descentralizada das ações de saúde, conforme estabelecido no art. 215 da Lei Orgânica do Município.</w:t>
      </w:r>
    </w:p>
    <w:p w14:paraId="38C3BE1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17 As despesas destinadas ao custeio administrativo e operacional, exceto na área de educação infantil e fundamental, só poderão ter suas dotações reajustadas até o limite do percentual de variação das receitas correntes do Município.</w:t>
      </w:r>
    </w:p>
    <w:p w14:paraId="485F8FD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Parágrafo único. Excetuam-se os casos de comprovada insuficiência decorrente de incremento físico nos serviços essenciais prestados à comunidade ou de novas atribuições em razão de mudanças na estrutura administrativa.</w:t>
      </w:r>
    </w:p>
    <w:p w14:paraId="151DA94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18 O Poder Legislativo terá uma dotação global, incluídos os subsídios dos Vereadores e excluídos os gastos com inativos, na Lei Orçamentária, que não poderá ultrapassar o percentual definido no art. 29-A da Constituição Federal, relativo ao somatório da receita tributária e das transferências previstas nos artigos 158 e 159 da Constituição Federal, efetivamente realizado no exercício anterior.</w:t>
      </w:r>
    </w:p>
    <w:p w14:paraId="2DF507C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19 A Proposta de Lei Orçamentária conterá reserva de contingência em montante equivalente a até 10% (dez por cento) da receita corrente líquida e será destinada ao atendimento de passivos contingentes e outros riscos e eventos fiscais imprevistos.</w:t>
      </w:r>
    </w:p>
    <w:p w14:paraId="2C37389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20 A elaboração do projeto, a aprovação e a execução da Lei Orçamentária Anual de 2026 deverão levar em conta a obtenção da meta de resultado primário, discriminado no Anexo de Metas Fiscais, e serem realizadas de modo a evidenciar a transparência da gestão fiscal.</w:t>
      </w:r>
    </w:p>
    <w:p w14:paraId="5D833C5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Parágrafo único. O Poder Executivo colocará à disposição dos demais Poderes e do Ministério Público, no mínimo trinta dias antes do prazo final para encaminhamento da proposta orçamentária, os estudos e as estimativas das receitas para o exercício subsequente, inclusive da corrente líquida, e as respectivas memórias de cálculo, conforme estabelece o § 3º do art. 12 da LRF.</w:t>
      </w:r>
    </w:p>
    <w:p w14:paraId="0EAED1F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21 A origem e a aplicação dos recursos obtidos com a alienação de ativos, de acordo com o inciso III do § 2º do art. 4º da LRF, estão explicitadas no Anexo de Metas Fiscais Quadro Origem e Aplicação dos Recursos Obtidos com a Alienação de Ativos.</w:t>
      </w:r>
    </w:p>
    <w:p w14:paraId="63BA9E7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22 A Lei Orçamentária Anual conterá dispositivos para adequar a despesa à receita, em função dos efeitos econômicos que decorram de:</w:t>
      </w:r>
    </w:p>
    <w:p w14:paraId="095E26F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realização de receitas não previstas;</w:t>
      </w:r>
    </w:p>
    <w:p w14:paraId="7C0A264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disposições legais a nível federal, estadual ou municipal que impactem de forma desigual as receitas previstas e as despesas fixadas;</w:t>
      </w:r>
    </w:p>
    <w:p w14:paraId="2C6C3DE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adequação na estrutura do Poder Executivo, desde que sem aumento real de despesa.</w:t>
      </w:r>
    </w:p>
    <w:p w14:paraId="4F8E956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Parágrafo único. A adequação da despesa à receita, de que trata o caput deste artigo, decorrente de qualquer das situações previstas nos incisos I, II e III, implicará a revisão das metas e prioridades para o exercício de 2026, da qual será dada a devida publicidade.</w:t>
      </w:r>
    </w:p>
    <w:p w14:paraId="2C06D19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23 Todas as receitas e despesas realizadas pelos órgãos, entidades, fundos e fundações integrantes do orçamento fiscal, da seguridade social e de investimentos, dos Poderes Executivo e Legislativo, inclusive as receitas próprias, terão sua execução orçamentária e financeira registrada no e-Cidade.</w:t>
      </w:r>
    </w:p>
    <w:p w14:paraId="1CA3254F" w14:textId="77777777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Seção II</w:t>
      </w:r>
    </w:p>
    <w:p w14:paraId="39DB1BEB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Das alterações da Lei Orçamentária Anual e Programação da Despesa</w:t>
      </w:r>
    </w:p>
    <w:p w14:paraId="25CAE68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24 Fica o Poder Executivo autorizado a:</w:t>
      </w:r>
    </w:p>
    <w:p w14:paraId="73F9BE6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I - incluir, excluir, alterar e transferir ações, desde que não resultem no desequilíbrio entre receita e despesa;</w:t>
      </w:r>
    </w:p>
    <w:p w14:paraId="4F0B341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transpor, remanejar, transferir ou utilizar, total ou parcialmente, as dotações orçamentárias aprovadas na Lei Orçamentária e em créditos adicionais, em decorrência da extinção, transformação, transferência, incorporação ou desmembramento de órgãos e entidades, bem como de alterações de suas competências ou atribuições, mantida a estrutura programática, inclusive os títulos e metas, assim como o respectivo detalhamento por grupos de natureza de despesa, fontes de recursos e modalidades de aplicação.</w:t>
      </w:r>
    </w:p>
    <w:p w14:paraId="7BDA1DC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promover ajustes na codificação orçamentária, decorrentes da necessidade de adequação à classificação vigente, desde que não impliquem em mudança de valores e finalidade da programação;</w:t>
      </w:r>
    </w:p>
    <w:p w14:paraId="79B49FA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alterar títulos e códigos das ações, desde que constatado erro de ordem técnica ou legal;</w:t>
      </w:r>
    </w:p>
    <w:p w14:paraId="215D8D0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promover adequações de codificação das fontes de recursos em lei orçamentária anual, mediante publicação de decreto, visando atender as portarias relacionadas à padronização das fontes de recurso que venham a ser publicadas pela Secretaria do Tesouro Nacional (STN), desde que não impliquem em mudanças de finalidade, vinculação ou aplicação das fontes.</w:t>
      </w:r>
    </w:p>
    <w:p w14:paraId="1CF82AC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1º A transposição, a transferência ou o remanejamento mencionado no inciso II do caput não poderá resultar em alteração dos valores globais aprovados na LOA ou em créditos adicionais, podendo haver, excepcionalmente, adequação da classificação funcional.</w:t>
      </w:r>
    </w:p>
    <w:p w14:paraId="778DB09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2º As classificações das dotações previstas no art. 5º, no que tange às fontes de recursos, poderão ser alteradas por ato próprio, de acordo com as necessidades de execução, mantido o valor total da ação orçamentária e observadas as vinculações previstas na legislação, para os identificadores de resultado primário e para as esferas orçamentárias.</w:t>
      </w:r>
    </w:p>
    <w:p w14:paraId="11BD6A3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§ 3º As alterações de modalidade de aplicação e elemento de despesa no âmbito do mesmo projeto/atividade serão realizadas diretamente no e-Cidade por meio de </w:t>
      </w:r>
      <w:r w:rsidRPr="00B93DB5">
        <w:rPr>
          <w:rFonts w:ascii="Arial" w:hAnsi="Arial" w:cs="Arial"/>
          <w:sz w:val="24"/>
          <w:szCs w:val="24"/>
        </w:rPr>
        <w:lastRenderedPageBreak/>
        <w:t>solicitação à SEPLAG, não computando para o teto de alterações orçamentárias a ser definido no Projeto de Lei Orçamentária Anual.</w:t>
      </w:r>
    </w:p>
    <w:p w14:paraId="2AA0076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25 Os projetos de lei relativos a créditos suplementares e especiais serão encaminhados pelo Poder Executivo à Câmara Municipal de Niterói em meio magnético.</w:t>
      </w:r>
    </w:p>
    <w:p w14:paraId="58491BA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1º Acompanharão os projetos de lei concernentes a créditos especiais exposições de motivos circunstanciadas que os justifiquem e indiquem as consequências dos cancelamentos de dotações propostos sobre a execução das despesas e respectivas metas.</w:t>
      </w:r>
    </w:p>
    <w:p w14:paraId="07B71E6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2° Os créditos especiais serão autorizados por lei, aprovada pela Câmara Municipal de Niterói, e abertos por decreto executivo, conforme o disposto no art. 42 da Lei 4.320/1964.</w:t>
      </w:r>
    </w:p>
    <w:p w14:paraId="1716208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26 O detalhamento do Projeto de Lei Orçamentária do Poder Legislativo será realizado pela Câmara Municipal de Niterói e consolidado pelo Executivo.</w:t>
      </w:r>
    </w:p>
    <w:p w14:paraId="46E9822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Parágrafo único. A abertura de créditos adicionais da Câmara Municipal de Niterói será autorizada por resolução do Presidente da Câmara e efetivada por meio de Decreto.</w:t>
      </w:r>
    </w:p>
    <w:p w14:paraId="0731E53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27 Os recursos correspondentes às dotações orçamentárias, compreendidos os créditos suplementares, destinados ao órgão do Poder Legislativo, serão entregues até o dia 20 de cada mês, na forma do disposto no artigo 168, da Constituição Federal.</w:t>
      </w:r>
    </w:p>
    <w:p w14:paraId="2033FFF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28 A Lei Orçamentária somente incluirá dotações para o pagamento de precatórios cujos processos contenham certidão de trânsito em julgado da decisão exequenda e pelo menos um dos seguintes documentos:</w:t>
      </w:r>
    </w:p>
    <w:p w14:paraId="05EEB5E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certidão de trânsito em julgado dos embargos à execução; e</w:t>
      </w:r>
    </w:p>
    <w:p w14:paraId="31C4B08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certidão de que não tenham sido opostos embargos ou qualquer impugnação aos respectivos cálculos.</w:t>
      </w:r>
    </w:p>
    <w:p w14:paraId="61B5674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Art. 29 As propostas de atos que resultem em criação ou aumento de despesa obrigatória de caráter continuado, entendida aquela que constitua ou venha a se constituir em obrigação legal do Município, deverão, previamente, serem comunicadas à SEPLAG e SMF, para que se manifestem sobre o impacto orçamentário-financeiro.</w:t>
      </w:r>
    </w:p>
    <w:p w14:paraId="074759F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30 Todos os atos e fatos relativos a pagamento ou transferência de recursos financeiros para entidade privada conterá, obrigatoriamente, referência ao Programa de Trabalho correspondente ao respectivo crédito orçamentário.</w:t>
      </w:r>
    </w:p>
    <w:p w14:paraId="575356C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31 Para efeito desta lei, entende-se por despesa irrelevante, para fins do § 3º do art. 16 da LRF, aquelas que não ultrapassarem os valores definidos nos incisos I e II do art. 75 da Lei 14.133/2021, observando os tipos de despesas especificados nos referidos incisos.</w:t>
      </w:r>
    </w:p>
    <w:p w14:paraId="7644D4B2" w14:textId="77777777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Seção III</w:t>
      </w:r>
    </w:p>
    <w:p w14:paraId="49A09A63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 Limitação Orçamentária e Financeira</w:t>
      </w:r>
    </w:p>
    <w:p w14:paraId="314FAD3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Art. 32 Até trinta dias após a publicação do orçamento anual, o Poder Executivo estabelecerá as metas bimestrais de arrecadação, a programação financeira e o cronograma de execução de desembolso, nos termos dos </w:t>
      </w:r>
      <w:proofErr w:type="spellStart"/>
      <w:r w:rsidRPr="00B93DB5">
        <w:rPr>
          <w:rFonts w:ascii="Arial" w:hAnsi="Arial" w:cs="Arial"/>
          <w:sz w:val="24"/>
          <w:szCs w:val="24"/>
        </w:rPr>
        <w:t>arts</w:t>
      </w:r>
      <w:proofErr w:type="spellEnd"/>
      <w:r w:rsidRPr="00B93DB5">
        <w:rPr>
          <w:rFonts w:ascii="Arial" w:hAnsi="Arial" w:cs="Arial"/>
          <w:sz w:val="24"/>
          <w:szCs w:val="24"/>
        </w:rPr>
        <w:t>. 8º e 13º da LRF.</w:t>
      </w:r>
    </w:p>
    <w:p w14:paraId="58B419D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33 A limitação de empenho e movimentação financeira, para atingir as metas fiscais previstas, se necessária, observará a realização da receita segundo a fonte de recursos e o montante de despesas autorizadas, inclusive os créditos adicionais da Administração Direta, Indireta, Autárquica e Fundacional do Município.</w:t>
      </w:r>
    </w:p>
    <w:p w14:paraId="10508D0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§ 1º Não serão objetos de limitação de empenho as despesas relativas a: </w:t>
      </w:r>
    </w:p>
    <w:p w14:paraId="7D3DF37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obrigações constitucionais e legais do Município, inclusive aquelas destinadas ao pagamento dos encargos da dívida pública; e</w:t>
      </w:r>
    </w:p>
    <w:p w14:paraId="4CB129F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as dotações custeadas com recursos de doações, convênios e operações especiais, bem como os recursos para ações no âmbito do SUS, SUAS e FUNDEB.</w:t>
      </w:r>
    </w:p>
    <w:p w14:paraId="43A3C29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§ 2º Na hipótese da ocorrência do disposto no caput deste artigo, o Poder Executivo comunicará ao Poder Legislativo o montante que lhe caberá na limitação do </w:t>
      </w:r>
      <w:r w:rsidRPr="00B93DB5">
        <w:rPr>
          <w:rFonts w:ascii="Arial" w:hAnsi="Arial" w:cs="Arial"/>
          <w:sz w:val="24"/>
          <w:szCs w:val="24"/>
        </w:rPr>
        <w:lastRenderedPageBreak/>
        <w:t>empenho e da movimentação financeira, acompanhado de memória de cálculo e da justificativa do ato.</w:t>
      </w:r>
    </w:p>
    <w:p w14:paraId="5CFC1B81" w14:textId="77777777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Seção IV</w:t>
      </w:r>
    </w:p>
    <w:p w14:paraId="4EB81887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Vedações</w:t>
      </w:r>
    </w:p>
    <w:p w14:paraId="0791C5C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34 É vedada a inclusão na lei orçamentária e em seus créditos adicionais, de dotações:</w:t>
      </w:r>
    </w:p>
    <w:p w14:paraId="7E5CB80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a título de subvenções sociais;</w:t>
      </w:r>
    </w:p>
    <w:p w14:paraId="460DF8B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a título de auxílios para entidades privadas;</w:t>
      </w:r>
    </w:p>
    <w:p w14:paraId="210B08E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para a realização de transferência financeira a outro ente da federação;</w:t>
      </w:r>
    </w:p>
    <w:p w14:paraId="3F6154E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para diretamente cobrir necessidades de pessoas físicas;</w:t>
      </w:r>
    </w:p>
    <w:p w14:paraId="140299E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para clubes e associações dos servidores ou quaisquer entidades congêneres, vinculadas a quaisquer recursos do Município, inclusive das receitas próprias das entidades e empresas públicas; e</w:t>
      </w:r>
    </w:p>
    <w:p w14:paraId="42D6FC0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 - para projetos novos antes de adequadamente atendidos os em andamentos e contempladas as despesas de conservação do patrimônio público, conforme disposto no art. 45 da LRF.</w:t>
      </w:r>
    </w:p>
    <w:p w14:paraId="4C903CF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1º Excetuam-se do disposto no inciso I do caput as subvenções sociais destinadas a entidades privadas sem fins lucrativos, de atividades de natureza continuada, que preencham uma das seguintes condições:</w:t>
      </w:r>
    </w:p>
    <w:p w14:paraId="54808D9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prestam atendimento direto ao público, de forma gratuita, nas áreas de assistência social, saúde, educação, esporte ou cultura;</w:t>
      </w:r>
    </w:p>
    <w:p w14:paraId="62C42E2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realizam atividades de natureza continuada;</w:t>
      </w:r>
    </w:p>
    <w:p w14:paraId="1B2C2BC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tenham sido declaradas por lei como sendo de utilidade pública.</w:t>
      </w:r>
    </w:p>
    <w:p w14:paraId="0898F47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§ 2º Para habilitar-se ao recebimento de subvenções sociais, a entidade privada sem fins lucrativos deverá apresentar declaração de regular funcionamento, por, no mínimo, uma autoridade local, e comprovante da regularidade do mandato de sua diretoria.</w:t>
      </w:r>
    </w:p>
    <w:p w14:paraId="6EE784B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3º Excetuam-se do disposto no inciso II do caput os auxílios para entidades privadas sem fins lucrativos e desde que sejam:</w:t>
      </w:r>
    </w:p>
    <w:p w14:paraId="42DC757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de atendimento direto e gratuito ao público, voltadas para as ações relativas ao ensino, saúde, cultura, assistência social e de proteção ao meio ambiente;</w:t>
      </w:r>
    </w:p>
    <w:p w14:paraId="1E934D9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associações ou consórcios intermunicipais, constituídos exclusivamente por entes públicos, legalmente instituídos e signatários de contrato de gestão com a administração pública municipal, e que participem da execução de programas municipais; e</w:t>
      </w:r>
    </w:p>
    <w:p w14:paraId="1414814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destinadas aos programas de desenvolvimento industrial.</w:t>
      </w:r>
    </w:p>
    <w:p w14:paraId="71AF8DE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4º Excetuam-se do disposto no inciso III do caput as transferências que envolvam claramente o atendimento de interesses locais, observadas as exigências do art. 25 da LRF.</w:t>
      </w:r>
    </w:p>
    <w:p w14:paraId="76E4ABD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5º Excetuam-se do disposto no inciso IV do caput os casos que atendam as exigências do art. 26 da LRF e sejam observadas as condições definidas em lei específica.</w:t>
      </w:r>
    </w:p>
    <w:p w14:paraId="3DA142E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6º As normas do inciso IV do caput deste artigo não se aplicam à ajuda a pessoas físicas custeadas pelos recursos do Sistema Único de Saúde.</w:t>
      </w:r>
    </w:p>
    <w:p w14:paraId="6E91669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7º Excetuam-se do disposto no inciso V do caput os casos em que os recursos venham a ser destinados a creches e instituições para o atendimento pré-escolar, do idoso e dos portadores de deficiência e vítimas de epidemias, projetos ambientais, projetos sociais e programa médico de família.</w:t>
      </w:r>
    </w:p>
    <w:p w14:paraId="5B1ACA8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35 A destinação de recursos para entidades privadas, a título de contribuições, nos termos do art. 12, §§ 2º e 6º, da Lei nº 4.320, de 1964, fica condicionada à autorização por lei específica.</w:t>
      </w:r>
    </w:p>
    <w:p w14:paraId="2DD7DB0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Art. 36 As transferências de recursos às entidades previstas nos § 1º e § 3º do art. 34 desta Lei, além de observar o conjunto das disposições legais aplicáveis à transferência de recursos para o setor privado, deverão ser precedidas da aprovação de plano de trabalho e da celebração de convênio, ajuste ou congênere, devendo ser observadas na elaboração de tais instrumentos as exigências da Lei 14.133/21.</w:t>
      </w:r>
    </w:p>
    <w:p w14:paraId="4CFA9AC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1º Compete ao Órgão concedente, o acompanhamento da realização do plano de trabalho executado com recursos transferidos pelo Município.</w:t>
      </w:r>
    </w:p>
    <w:p w14:paraId="451061B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2º É vedada a celebração de convênio com entidade em situação irregular com o Município, em decorrência de transferência feita anteriormente.</w:t>
      </w:r>
    </w:p>
    <w:p w14:paraId="2082784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3º Excetuam-se do cumprimento dos dispositivos legais a que se refere o caput deste artigo as caixas escolares da rede pública municipal de ensino que receberam recursos diretamente do Governo Federal por meio do PDDE - Programa Dinheiro Direto na Escola.</w:t>
      </w:r>
    </w:p>
    <w:p w14:paraId="36CC5ED6" w14:textId="77777777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V</w:t>
      </w:r>
    </w:p>
    <w:p w14:paraId="595F030B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DAS DISPOSIÇÕES RELATIVAS À DÍVIDA PÚBLICA MUNICIPAL</w:t>
      </w:r>
    </w:p>
    <w:p w14:paraId="2D04ABE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37 As despesas com o refinanciamento da dívida pública municipal serão incluídas na Lei Orçamentária, em seus anexos, e nos créditos adicionais separadamente das demais despesas com o serviço da dívida.</w:t>
      </w:r>
    </w:p>
    <w:p w14:paraId="27431D1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38 As prorrogações e composições de dívidas decorrentes de empréstimos, financiamentos e refinanciamentos concedidos com recursos dos Orçamentos Fiscal e da Seguridade Social dependem de autorização expressa em lei específica.</w:t>
      </w:r>
    </w:p>
    <w:p w14:paraId="464166C2" w14:textId="77777777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VI</w:t>
      </w:r>
    </w:p>
    <w:p w14:paraId="560FF418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DAS DESPESAS COM PESSOAL E ENCARGOS SOCIAIS</w:t>
      </w:r>
    </w:p>
    <w:p w14:paraId="3D1431D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b/>
          <w:i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39 A despesa com pessoal e encargos sociais, constante da proposta orçamentária para 2026, deverá observar o disposto no art. 29-A da Constituição Federal e no art. 20 da LRF. </w:t>
      </w:r>
    </w:p>
    <w:p w14:paraId="4AC88E8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§ 1º No cálculo do limite deverão ser considerados os eventuais acréscimos legais, alterações de planos de carreira, admissões para preenchimento de cargos e revisão geral da remuneração dos servidores públicos do município.</w:t>
      </w:r>
    </w:p>
    <w:p w14:paraId="0B11665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2º No caso de extrapolação dos limites, o Poder Executivo deverá proceder ao disposto nos incisos I e II do § 3º do art. 169 da Constituição Federal e nos artigos 22 e 23 da LRF.</w:t>
      </w:r>
    </w:p>
    <w:p w14:paraId="35906E3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§ 3º Não constituem despesas com pessoal e encargos sociais as relativas ao pagamento de assistência pré-escolar de dependentes de servidores e de empregados públicos, saúde suplementar de servidores, empregados públicos e seus dependentes, diárias, auxílios alimentação ou refeição, moradia e transporte de qualquer natureza.</w:t>
      </w:r>
    </w:p>
    <w:p w14:paraId="00E07CC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40 Para atendimento ao disposto no inciso II do § 1º do art. 169 da Constituição Federal, observado o inciso I do mesmo parágrafo, fica autorizada a concessão de quaisquer vantagens, aumentos de remuneração, criação de cargos, empregos e funções, alterações de estrutura de carreiras, bem como admissões ou contratações a qualquer título, de pessoal, observado o disposto no art. 71 da LRF.</w:t>
      </w:r>
    </w:p>
    <w:p w14:paraId="3F1EFD5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41 Os projetos de lei relacionados a aumento de gastos com pessoal e encargos sociais deverão ser acompanhados de:</w:t>
      </w:r>
    </w:p>
    <w:p w14:paraId="22E9A47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premissas e metodologia de cálculo utilizadas, conforme estabelece o art. 17 da LRF;</w:t>
      </w:r>
    </w:p>
    <w:p w14:paraId="7856139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demonstrativo do impacto da despesa, referido no art. 20 da LRF, destacando ativos, inativos e pensionistas; e</w:t>
      </w:r>
    </w:p>
    <w:p w14:paraId="193B26F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manifestação da SEPLAG e da Secretaria Municipal da Fazenda (SMF), sobre o impacto orçamentário e financeiro.</w:t>
      </w:r>
    </w:p>
    <w:p w14:paraId="0D5346D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Parágrafo único. Excetua-se do disposto neste artigo a transformação de cargos que, justificadamente, não implique aumento de despesa.</w:t>
      </w:r>
    </w:p>
    <w:p w14:paraId="3A3F19F6" w14:textId="0F902BE6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VII</w:t>
      </w:r>
    </w:p>
    <w:p w14:paraId="21D3C996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lastRenderedPageBreak/>
        <w:t>DAS POLÍTICAS DE APLICAÇÃO FINANCEIRA PARA O DESENVOLVIMENTO MUNICIPAL</w:t>
      </w:r>
    </w:p>
    <w:p w14:paraId="54E9437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42 A aplicação de recursos para o desenvolvimento do Município dará prioridade às ações e diretrizes que:</w:t>
      </w:r>
    </w:p>
    <w:p w14:paraId="13CD895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permitam o acesso da população de baixa renda ao conjunto de bens e serviços socialmente prioritários;</w:t>
      </w:r>
    </w:p>
    <w:p w14:paraId="4F19A98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atendam às micro, pequenas e médias empresas, bem como aos pequenos e médios produtores e suas cooperativas;</w:t>
      </w:r>
    </w:p>
    <w:p w14:paraId="2689E70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atendam a projetos sociais, de infraestrutura econômica e de habitação popular e urbanização de favelas;</w:t>
      </w:r>
    </w:p>
    <w:p w14:paraId="1371C85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objetivem o desenvolvimento econômico-social do Município e impliquem na distribuição de renda e geração de empregos;</w:t>
      </w:r>
    </w:p>
    <w:p w14:paraId="0F1FC40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atendam a projetos destinados à defesa, preservação e recuperação do meio ambiente.</w:t>
      </w:r>
    </w:p>
    <w:p w14:paraId="50AFA47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 - constituam políticas públicas voltadas para crianças e adolescentes;</w:t>
      </w:r>
    </w:p>
    <w:p w14:paraId="7D447ED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 - promovam a defesa de grupos socialmente vulneráveis;</w:t>
      </w:r>
    </w:p>
    <w:p w14:paraId="47C28DE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VIII - atendam a projetos na promoção da melhoria da qualidade da educação;</w:t>
      </w:r>
    </w:p>
    <w:p w14:paraId="0DCB307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IX - garantam atendimento ágil e de qualidade aos serviços de saúde.</w:t>
      </w:r>
    </w:p>
    <w:p w14:paraId="7DE764E1" w14:textId="77777777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VIII</w:t>
      </w:r>
    </w:p>
    <w:p w14:paraId="311618E8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DAS DISPOSIÇÕES SOBRE ALTERAÇÕES NA LEGISLAÇÃO TRIBUTÁRIA</w:t>
      </w:r>
    </w:p>
    <w:p w14:paraId="37C637D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43 A gestão tributária e financeira do município visa:</w:t>
      </w:r>
    </w:p>
    <w:p w14:paraId="4A59692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aumentar a produtividade na arrecadação dos tributos próprios;</w:t>
      </w:r>
    </w:p>
    <w:p w14:paraId="6324F26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II - propiciar nível adequado de facilitação aos contribuintes nas relações com a Fazenda Municipal;</w:t>
      </w:r>
    </w:p>
    <w:p w14:paraId="1B73904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integrar os sistemas informatizados de controle de arrecadação, conciliação bancária e atendimento ao contribuinte;</w:t>
      </w:r>
    </w:p>
    <w:p w14:paraId="3B7335E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otimizar e manter os sistemas de avaliação e controle de despesa e das contas bancárias.</w:t>
      </w:r>
    </w:p>
    <w:p w14:paraId="4DE8DD8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44 A Lei que conceder ou ampliar incentivo, isenção ou benefício de natureza tributária, só será aprovada ou editada se atendido o disposto no artigo 14 da LRF.</w:t>
      </w:r>
    </w:p>
    <w:p w14:paraId="338BEA04" w14:textId="4F271050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IX</w:t>
      </w:r>
    </w:p>
    <w:p w14:paraId="199D6F9A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DAS DISPOSIÇÕES SOBRE TRANSPARÊNCIA</w:t>
      </w:r>
    </w:p>
    <w:p w14:paraId="47CF19B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45 O Poder Executivo, para fins de transparência da gestão fiscal e em observância ao princípio da publicidade, tornará disponíveis no Portal da Transparência de Niterói, para acesso de toda a sociedade, no mínimo, as seguintes informações, respeitando o disposto no artigo 48 da LRF:</w:t>
      </w:r>
    </w:p>
    <w:p w14:paraId="100C4EA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os Planos, Orçamentos e Lei de Diretrizes Orçamentárias;</w:t>
      </w:r>
    </w:p>
    <w:p w14:paraId="7BE2C28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as Prestações de Contas e respectivos Pareceres Prévios;</w:t>
      </w:r>
    </w:p>
    <w:p w14:paraId="6AE59B7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o Relatório Resumido da Execução Orçamentária; e</w:t>
      </w:r>
    </w:p>
    <w:p w14:paraId="2C23D80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 xml:space="preserve">IV - o Relatório de Gestão Fiscal; </w:t>
      </w:r>
    </w:p>
    <w:p w14:paraId="709C5B7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Quanto à despesa: todos os atos praticados pelas unidades gestoras no decorrer da execução da despesa, no momento de sua realização, com a disponibilização mínima dos dados referentes ao número do correspondente processo, ao bem fornecido ou ao serviço prestado, à pessoa física ou jurídica beneficiária do pagamento e, quando for o caso, ao procedimento licitatório realizado, conforme o inciso I do art. 48-A;</w:t>
      </w:r>
    </w:p>
    <w:p w14:paraId="280EF69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VI - Quanto à receita: o lançamento e o recebimento de toda a receita das unidades gestoras, inclusive referente a recursos extraordinários, conforme o inciso II do art. 48-A.</w:t>
      </w:r>
    </w:p>
    <w:p w14:paraId="36BCF505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46 Os órgãos orçamentários manterão atualizados em seu sítio eletrônico a relação dos contratados, com os valores pagos nos últimos três anos, e a íntegra dos contratos e convênios, e dos termos ou instrumentos congêneres vigentes, exceto os sigilosos, nos termos da legislação.</w:t>
      </w:r>
    </w:p>
    <w:p w14:paraId="38DC1E4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Parágrafo único. Serão também divulgadas as informações relativas às alterações contratuais e penalidades.</w:t>
      </w:r>
    </w:p>
    <w:p w14:paraId="7F7E9B96" w14:textId="722B4B13" w:rsidR="00B93DB5" w:rsidRPr="00B93DB5" w:rsidRDefault="00B93DB5" w:rsidP="00DD0D6D">
      <w:pPr>
        <w:spacing w:before="240" w:after="0"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Capítulo X</w:t>
      </w:r>
    </w:p>
    <w:p w14:paraId="3723D42F" w14:textId="77777777" w:rsidR="00B93DB5" w:rsidRPr="00B93DB5" w:rsidRDefault="00B93DB5" w:rsidP="00DD0D6D">
      <w:pPr>
        <w:spacing w:line="312" w:lineRule="auto"/>
        <w:jc w:val="center"/>
        <w:rPr>
          <w:rFonts w:ascii="Arial" w:hAnsi="Arial" w:cs="Arial"/>
          <w:b/>
          <w:sz w:val="24"/>
          <w:szCs w:val="24"/>
        </w:rPr>
      </w:pPr>
      <w:r w:rsidRPr="00B93DB5">
        <w:rPr>
          <w:rFonts w:ascii="Arial" w:hAnsi="Arial" w:cs="Arial"/>
          <w:b/>
          <w:sz w:val="24"/>
          <w:szCs w:val="24"/>
        </w:rPr>
        <w:t>DAS DISPOSIÇÕES FINAIS</w:t>
      </w:r>
    </w:p>
    <w:p w14:paraId="748FF14D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47 São vedados quaisquer procedimentos pelos ordenadores de despesas que viabilizem a execução de despesas sem a comprovada e suficiente disponibilidade de dotação orçamentária.</w:t>
      </w:r>
    </w:p>
    <w:p w14:paraId="312B828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48 Fica o Poder Executivo autorizado a contribuir para o custeio de despesas de competência de outros entes da Federação, inclusive instituições públicas vinculadas à União, ao Estado ou a outro Município, desde que compatíveis com os programas constantes da Lei Orçamentária Anual, mediante, convênio, ajuste ou congênere.</w:t>
      </w:r>
    </w:p>
    <w:p w14:paraId="75B2A8D8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49 O Projeto de Lei Orçamentária deverá ser encaminhado à sanção, até o encerramento do período Legislativo.</w:t>
      </w:r>
    </w:p>
    <w:p w14:paraId="620453A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50 Integram esta Lei:</w:t>
      </w:r>
    </w:p>
    <w:p w14:paraId="5B09871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Anexo de Ações de Apoio Administrativo e de Operações Especiais;</w:t>
      </w:r>
    </w:p>
    <w:p w14:paraId="178FF59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Anexo de Metas e Prioridades, observando o disposto no art. 54 desta lei; </w:t>
      </w:r>
    </w:p>
    <w:p w14:paraId="08CC735A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Anexo de Metas Fiscais;</w:t>
      </w:r>
    </w:p>
    <w:p w14:paraId="2671F599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Anexo de Riscos Fiscais;</w:t>
      </w:r>
    </w:p>
    <w:p w14:paraId="7CE7C75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 xml:space="preserve">V - Metodologia de Cálculo; </w:t>
      </w:r>
    </w:p>
    <w:p w14:paraId="62D86AB7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 - Priorização de Recursos para Obras em Andamento e Conservação do Patrimônio Público, observando o disposto no art. 54 desta lei; </w:t>
      </w:r>
    </w:p>
    <w:p w14:paraId="2382DB3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 - Anexo de Descrição das Ações Orçamentárias, observando o disposto no art. 54 desta lei;</w:t>
      </w:r>
    </w:p>
    <w:p w14:paraId="6E2022DE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VIII - Anexo de Agendas Transversais, observando o disposto no art. 54 desta lei;</w:t>
      </w:r>
    </w:p>
    <w:p w14:paraId="61E69BB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bookmarkStart w:id="4" w:name="_Hlk37162332"/>
      <w:r w:rsidRPr="00B93DB5">
        <w:rPr>
          <w:rFonts w:ascii="Arial" w:hAnsi="Arial" w:cs="Arial"/>
          <w:sz w:val="24"/>
          <w:szCs w:val="24"/>
        </w:rPr>
        <w:t>Art. 51 Os Anexos de Metas Fiscais e o Anexo de Metas e Prioridades poderão ser atualizados no momento de envio do Projeto de Lei Orçamentária para 2026, justificado pelas oscilações dos parâmetros macroeconômicos nacionais. </w:t>
      </w:r>
    </w:p>
    <w:bookmarkEnd w:id="4"/>
    <w:p w14:paraId="66F0285F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52 No ato da execução orçamentária da despesa deverá ser especificado o código de acompanhamento, de acordo com a Portaria STN nº 710, de 25 de fevereiro de 2021.</w:t>
      </w:r>
    </w:p>
    <w:p w14:paraId="2649B88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53 Caso o Projeto da Lei Orçamentária de 2026 não seja aprovado e sancionado até 31 de dezembro de 2025, a programação dele constante poderá ser executada até a edição da respectiva Lei Orçamentária, na forma originalmente encaminhada ao Poder Legislativo, para o atendimento das seguintes despesas: </w:t>
      </w:r>
    </w:p>
    <w:p w14:paraId="7537E73B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 - pessoal e encargos sociais;</w:t>
      </w:r>
    </w:p>
    <w:p w14:paraId="7CAEAF60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 - pagamento de benefícios previdenciários;</w:t>
      </w:r>
    </w:p>
    <w:p w14:paraId="548AFA4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III - amortização e encargos da dívida;</w:t>
      </w:r>
    </w:p>
    <w:p w14:paraId="72B027C4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IV - outras despesas correntes de caráter inadiável, até o limite de um doze avos do valor previsto para cada órgão no Projeto de Lei Orçamentária de 2026, multiplicado pelo número de meses total ou parcialmente decorridos até a data de publicação da respectiva Lei; </w:t>
      </w:r>
    </w:p>
    <w:p w14:paraId="6AF29053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 - investimentos para continuidade de obras;</w:t>
      </w:r>
    </w:p>
    <w:p w14:paraId="76979F62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lastRenderedPageBreak/>
        <w:t>VI - utilização de recursos vinculados, em suas finalidades, limitado ao valor conveniado, acordado ou efetivamente ajustado, e em conformidade com o cronograma de execução financeira estabelecido nos referidos instrumentos.</w:t>
      </w:r>
    </w:p>
    <w:p w14:paraId="31CA6DB6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VII - dotações alocadas com recursos que possuem aplicação específica, previamente definidas.</w:t>
      </w:r>
    </w:p>
    <w:p w14:paraId="3DDFA361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54 Em razão da integração necessária entre o Plano Plurianual e a Lei de Diretrizes Orçamentárias, dada através da priorização realizada na LDO daqueles programas e ações previstos no PPA, e em função do prazo de envio do Projeto de Plano Plurianual 2026-2029 ser estabelecido para 31 de agosto de 2025, o Anexo de Metas e Prioridades, o Anexo de Obras e Conservação e o Anexo de descrição das ações orçamentárias, partes integrantes do PLDO, serão enviados em conjunto ao Projeto de Lei do PPA, no prazo de 31 de agosto do corrente ano.</w:t>
      </w:r>
    </w:p>
    <w:p w14:paraId="478B85EC" w14:textId="77777777" w:rsidR="00B93DB5" w:rsidRP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55 Fica autorizado que as emendas aprovadas no âmbito do Projeto de Lei do PPA relativas ao ano de 2026 sejam automaticamente reproduzidas e evidenciadas no PLDO 2026 e seus anexos, em razão da necessária integração entre as peças, complementarmente ao disposto no art. 54.</w:t>
      </w:r>
    </w:p>
    <w:p w14:paraId="5A5D6FA2" w14:textId="4E9D85BA" w:rsidR="00B93DB5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  <w:r w:rsidRPr="00B93DB5">
        <w:rPr>
          <w:rFonts w:ascii="Arial" w:hAnsi="Arial" w:cs="Arial"/>
          <w:sz w:val="24"/>
          <w:szCs w:val="24"/>
        </w:rPr>
        <w:t>Art. 56 Esta Lei entra em vigor na data de sua publicação, revogadas as disposições em contrário.</w:t>
      </w:r>
    </w:p>
    <w:p w14:paraId="10B95E79" w14:textId="77777777" w:rsidR="00B93DB5" w:rsidRPr="003E12D8" w:rsidRDefault="00B93DB5" w:rsidP="00B93DB5">
      <w:pPr>
        <w:spacing w:before="240" w:line="312" w:lineRule="auto"/>
        <w:rPr>
          <w:rFonts w:ascii="Arial" w:hAnsi="Arial" w:cs="Arial"/>
          <w:sz w:val="24"/>
          <w:szCs w:val="24"/>
        </w:rPr>
      </w:pPr>
    </w:p>
    <w:sectPr w:rsidR="00B93DB5" w:rsidRPr="003E12D8" w:rsidSect="00353BC8">
      <w:headerReference w:type="default" r:id="rId9"/>
      <w:pgSz w:w="11907" w:h="16840" w:code="9"/>
      <w:pgMar w:top="1701" w:right="1134" w:bottom="1134" w:left="1701" w:header="426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C622F3" w14:textId="77777777" w:rsidR="00E55A01" w:rsidRDefault="00E55A01">
      <w:r>
        <w:separator/>
      </w:r>
    </w:p>
  </w:endnote>
  <w:endnote w:type="continuationSeparator" w:id="0">
    <w:p w14:paraId="25DC8C0A" w14:textId="77777777" w:rsidR="00E55A01" w:rsidRDefault="00E55A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3B7FC4" w14:textId="77777777" w:rsidR="00E55A01" w:rsidRDefault="00E55A01">
      <w:r>
        <w:separator/>
      </w:r>
    </w:p>
  </w:footnote>
  <w:footnote w:type="continuationSeparator" w:id="0">
    <w:p w14:paraId="24305EE7" w14:textId="77777777" w:rsidR="00E55A01" w:rsidRDefault="00E55A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8448A78" w14:textId="7B0D1124" w:rsidR="00300BEC" w:rsidRDefault="006A071C" w:rsidP="008102A7">
    <w:pPr>
      <w:pStyle w:val="Cabealho"/>
      <w:jc w:val="center"/>
    </w:pPr>
    <w:r w:rsidRPr="00470B13">
      <w:rPr>
        <w:noProof/>
      </w:rPr>
      <w:drawing>
        <wp:inline distT="0" distB="0" distL="0" distR="0" wp14:anchorId="3F57817F" wp14:editId="1B0FC2E0">
          <wp:extent cx="2276474" cy="947673"/>
          <wp:effectExtent l="0" t="0" r="0" b="5080"/>
          <wp:docPr id="211717954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7179544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12322" cy="9625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6CECC57" w14:textId="77777777" w:rsidR="006A071C" w:rsidRPr="006A071C" w:rsidRDefault="006A071C" w:rsidP="008102A7">
    <w:pPr>
      <w:pStyle w:val="Cabealho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E85715"/>
    <w:multiLevelType w:val="hybridMultilevel"/>
    <w:tmpl w:val="3A46F100"/>
    <w:lvl w:ilvl="0" w:tplc="B45EF016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>
    <w:nsid w:val="05D02883"/>
    <w:multiLevelType w:val="hybridMultilevel"/>
    <w:tmpl w:val="EFDA474A"/>
    <w:lvl w:ilvl="0" w:tplc="985C6BF4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55" w:hanging="360"/>
      </w:pPr>
    </w:lvl>
    <w:lvl w:ilvl="2" w:tplc="0416001B" w:tentative="1">
      <w:start w:val="1"/>
      <w:numFmt w:val="lowerRoman"/>
      <w:lvlText w:val="%3."/>
      <w:lvlJc w:val="right"/>
      <w:pPr>
        <w:ind w:left="2475" w:hanging="180"/>
      </w:pPr>
    </w:lvl>
    <w:lvl w:ilvl="3" w:tplc="0416000F" w:tentative="1">
      <w:start w:val="1"/>
      <w:numFmt w:val="decimal"/>
      <w:lvlText w:val="%4."/>
      <w:lvlJc w:val="left"/>
      <w:pPr>
        <w:ind w:left="3195" w:hanging="360"/>
      </w:pPr>
    </w:lvl>
    <w:lvl w:ilvl="4" w:tplc="04160019" w:tentative="1">
      <w:start w:val="1"/>
      <w:numFmt w:val="lowerLetter"/>
      <w:lvlText w:val="%5."/>
      <w:lvlJc w:val="left"/>
      <w:pPr>
        <w:ind w:left="3915" w:hanging="360"/>
      </w:pPr>
    </w:lvl>
    <w:lvl w:ilvl="5" w:tplc="0416001B" w:tentative="1">
      <w:start w:val="1"/>
      <w:numFmt w:val="lowerRoman"/>
      <w:lvlText w:val="%6."/>
      <w:lvlJc w:val="right"/>
      <w:pPr>
        <w:ind w:left="4635" w:hanging="180"/>
      </w:pPr>
    </w:lvl>
    <w:lvl w:ilvl="6" w:tplc="0416000F" w:tentative="1">
      <w:start w:val="1"/>
      <w:numFmt w:val="decimal"/>
      <w:lvlText w:val="%7."/>
      <w:lvlJc w:val="left"/>
      <w:pPr>
        <w:ind w:left="5355" w:hanging="360"/>
      </w:pPr>
    </w:lvl>
    <w:lvl w:ilvl="7" w:tplc="04160019" w:tentative="1">
      <w:start w:val="1"/>
      <w:numFmt w:val="lowerLetter"/>
      <w:lvlText w:val="%8."/>
      <w:lvlJc w:val="left"/>
      <w:pPr>
        <w:ind w:left="6075" w:hanging="360"/>
      </w:pPr>
    </w:lvl>
    <w:lvl w:ilvl="8" w:tplc="0416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EBB5458"/>
    <w:multiLevelType w:val="hybridMultilevel"/>
    <w:tmpl w:val="E8824E3C"/>
    <w:lvl w:ilvl="0" w:tplc="0416000F">
      <w:start w:val="1"/>
      <w:numFmt w:val="decimal"/>
      <w:lvlText w:val="%1."/>
      <w:lvlJc w:val="left"/>
      <w:pPr>
        <w:ind w:left="1695" w:hanging="360"/>
      </w:pPr>
    </w:lvl>
    <w:lvl w:ilvl="1" w:tplc="04160019" w:tentative="1">
      <w:start w:val="1"/>
      <w:numFmt w:val="lowerLetter"/>
      <w:lvlText w:val="%2."/>
      <w:lvlJc w:val="left"/>
      <w:pPr>
        <w:ind w:left="2415" w:hanging="360"/>
      </w:pPr>
    </w:lvl>
    <w:lvl w:ilvl="2" w:tplc="0416001B" w:tentative="1">
      <w:start w:val="1"/>
      <w:numFmt w:val="lowerRoman"/>
      <w:lvlText w:val="%3."/>
      <w:lvlJc w:val="right"/>
      <w:pPr>
        <w:ind w:left="3135" w:hanging="180"/>
      </w:pPr>
    </w:lvl>
    <w:lvl w:ilvl="3" w:tplc="0416000F" w:tentative="1">
      <w:start w:val="1"/>
      <w:numFmt w:val="decimal"/>
      <w:lvlText w:val="%4."/>
      <w:lvlJc w:val="left"/>
      <w:pPr>
        <w:ind w:left="3855" w:hanging="360"/>
      </w:pPr>
    </w:lvl>
    <w:lvl w:ilvl="4" w:tplc="04160019" w:tentative="1">
      <w:start w:val="1"/>
      <w:numFmt w:val="lowerLetter"/>
      <w:lvlText w:val="%5."/>
      <w:lvlJc w:val="left"/>
      <w:pPr>
        <w:ind w:left="4575" w:hanging="360"/>
      </w:pPr>
    </w:lvl>
    <w:lvl w:ilvl="5" w:tplc="0416001B" w:tentative="1">
      <w:start w:val="1"/>
      <w:numFmt w:val="lowerRoman"/>
      <w:lvlText w:val="%6."/>
      <w:lvlJc w:val="right"/>
      <w:pPr>
        <w:ind w:left="5295" w:hanging="180"/>
      </w:pPr>
    </w:lvl>
    <w:lvl w:ilvl="6" w:tplc="0416000F" w:tentative="1">
      <w:start w:val="1"/>
      <w:numFmt w:val="decimal"/>
      <w:lvlText w:val="%7."/>
      <w:lvlJc w:val="left"/>
      <w:pPr>
        <w:ind w:left="6015" w:hanging="360"/>
      </w:pPr>
    </w:lvl>
    <w:lvl w:ilvl="7" w:tplc="04160019" w:tentative="1">
      <w:start w:val="1"/>
      <w:numFmt w:val="lowerLetter"/>
      <w:lvlText w:val="%8."/>
      <w:lvlJc w:val="left"/>
      <w:pPr>
        <w:ind w:left="6735" w:hanging="360"/>
      </w:pPr>
    </w:lvl>
    <w:lvl w:ilvl="8" w:tplc="0416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4">
    <w:nsid w:val="15620AF3"/>
    <w:multiLevelType w:val="hybridMultilevel"/>
    <w:tmpl w:val="7AF0D146"/>
    <w:lvl w:ilvl="0" w:tplc="6C126198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5" w:hanging="360"/>
      </w:pPr>
    </w:lvl>
    <w:lvl w:ilvl="2" w:tplc="0416001B" w:tentative="1">
      <w:start w:val="1"/>
      <w:numFmt w:val="lowerRoman"/>
      <w:lvlText w:val="%3."/>
      <w:lvlJc w:val="right"/>
      <w:pPr>
        <w:ind w:left="2445" w:hanging="180"/>
      </w:pPr>
    </w:lvl>
    <w:lvl w:ilvl="3" w:tplc="0416000F" w:tentative="1">
      <w:start w:val="1"/>
      <w:numFmt w:val="decimal"/>
      <w:lvlText w:val="%4."/>
      <w:lvlJc w:val="left"/>
      <w:pPr>
        <w:ind w:left="3165" w:hanging="360"/>
      </w:pPr>
    </w:lvl>
    <w:lvl w:ilvl="4" w:tplc="04160019" w:tentative="1">
      <w:start w:val="1"/>
      <w:numFmt w:val="lowerLetter"/>
      <w:lvlText w:val="%5."/>
      <w:lvlJc w:val="left"/>
      <w:pPr>
        <w:ind w:left="3885" w:hanging="360"/>
      </w:pPr>
    </w:lvl>
    <w:lvl w:ilvl="5" w:tplc="0416001B" w:tentative="1">
      <w:start w:val="1"/>
      <w:numFmt w:val="lowerRoman"/>
      <w:lvlText w:val="%6."/>
      <w:lvlJc w:val="right"/>
      <w:pPr>
        <w:ind w:left="4605" w:hanging="180"/>
      </w:pPr>
    </w:lvl>
    <w:lvl w:ilvl="6" w:tplc="0416000F" w:tentative="1">
      <w:start w:val="1"/>
      <w:numFmt w:val="decimal"/>
      <w:lvlText w:val="%7."/>
      <w:lvlJc w:val="left"/>
      <w:pPr>
        <w:ind w:left="5325" w:hanging="360"/>
      </w:pPr>
    </w:lvl>
    <w:lvl w:ilvl="7" w:tplc="04160019" w:tentative="1">
      <w:start w:val="1"/>
      <w:numFmt w:val="lowerLetter"/>
      <w:lvlText w:val="%8."/>
      <w:lvlJc w:val="left"/>
      <w:pPr>
        <w:ind w:left="6045" w:hanging="360"/>
      </w:pPr>
    </w:lvl>
    <w:lvl w:ilvl="8" w:tplc="041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5">
    <w:nsid w:val="15D07BB0"/>
    <w:multiLevelType w:val="hybridMultilevel"/>
    <w:tmpl w:val="5A7A5F2A"/>
    <w:numStyleLink w:val="Letras"/>
  </w:abstractNum>
  <w:abstractNum w:abstractNumId="6">
    <w:nsid w:val="17B7021D"/>
    <w:multiLevelType w:val="multilevel"/>
    <w:tmpl w:val="52AC28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A5198B"/>
    <w:multiLevelType w:val="multilevel"/>
    <w:tmpl w:val="3D8A5E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A7F025C"/>
    <w:multiLevelType w:val="hybridMultilevel"/>
    <w:tmpl w:val="8B5234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6D17D6"/>
    <w:multiLevelType w:val="hybridMultilevel"/>
    <w:tmpl w:val="5A7A5F2A"/>
    <w:styleLink w:val="Letras"/>
    <w:lvl w:ilvl="0" w:tplc="4AF4E3CA">
      <w:start w:val="1"/>
      <w:numFmt w:val="lowerLetter"/>
      <w:lvlText w:val="%1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4321198">
      <w:start w:val="1"/>
      <w:numFmt w:val="lowerLetter"/>
      <w:lvlText w:val="%2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6D50F2AE">
      <w:start w:val="1"/>
      <w:numFmt w:val="lowerLetter"/>
      <w:lvlText w:val="%3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B69C01AA">
      <w:start w:val="1"/>
      <w:numFmt w:val="lowerLetter"/>
      <w:lvlText w:val="%4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5450F16E">
      <w:start w:val="1"/>
      <w:numFmt w:val="lowerLetter"/>
      <w:lvlText w:val="%5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9C6073C">
      <w:start w:val="1"/>
      <w:numFmt w:val="lowerLetter"/>
      <w:lvlText w:val="%6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0E4092E">
      <w:start w:val="1"/>
      <w:numFmt w:val="lowerLetter"/>
      <w:lvlText w:val="%7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DB6CF52">
      <w:start w:val="1"/>
      <w:numFmt w:val="lowerLetter"/>
      <w:lvlText w:val="%8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09F67C08">
      <w:start w:val="1"/>
      <w:numFmt w:val="lowerLetter"/>
      <w:lvlText w:val="%9)"/>
      <w:lvlJc w:val="left"/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>
    <w:nsid w:val="30FE31F4"/>
    <w:multiLevelType w:val="hybridMultilevel"/>
    <w:tmpl w:val="124671DA"/>
    <w:lvl w:ilvl="0" w:tplc="0416000F">
      <w:start w:val="1"/>
      <w:numFmt w:val="decimal"/>
      <w:lvlText w:val="%1."/>
      <w:lvlJc w:val="left"/>
      <w:pPr>
        <w:ind w:left="1365" w:hanging="360"/>
      </w:pPr>
    </w:lvl>
    <w:lvl w:ilvl="1" w:tplc="04160019" w:tentative="1">
      <w:start w:val="1"/>
      <w:numFmt w:val="lowerLetter"/>
      <w:lvlText w:val="%2."/>
      <w:lvlJc w:val="left"/>
      <w:pPr>
        <w:ind w:left="2085" w:hanging="360"/>
      </w:pPr>
    </w:lvl>
    <w:lvl w:ilvl="2" w:tplc="0416001B" w:tentative="1">
      <w:start w:val="1"/>
      <w:numFmt w:val="lowerRoman"/>
      <w:lvlText w:val="%3."/>
      <w:lvlJc w:val="right"/>
      <w:pPr>
        <w:ind w:left="2805" w:hanging="180"/>
      </w:pPr>
    </w:lvl>
    <w:lvl w:ilvl="3" w:tplc="0416000F" w:tentative="1">
      <w:start w:val="1"/>
      <w:numFmt w:val="decimal"/>
      <w:lvlText w:val="%4."/>
      <w:lvlJc w:val="left"/>
      <w:pPr>
        <w:ind w:left="3525" w:hanging="360"/>
      </w:pPr>
    </w:lvl>
    <w:lvl w:ilvl="4" w:tplc="04160019" w:tentative="1">
      <w:start w:val="1"/>
      <w:numFmt w:val="lowerLetter"/>
      <w:lvlText w:val="%5."/>
      <w:lvlJc w:val="left"/>
      <w:pPr>
        <w:ind w:left="4245" w:hanging="360"/>
      </w:pPr>
    </w:lvl>
    <w:lvl w:ilvl="5" w:tplc="0416001B" w:tentative="1">
      <w:start w:val="1"/>
      <w:numFmt w:val="lowerRoman"/>
      <w:lvlText w:val="%6."/>
      <w:lvlJc w:val="right"/>
      <w:pPr>
        <w:ind w:left="4965" w:hanging="180"/>
      </w:pPr>
    </w:lvl>
    <w:lvl w:ilvl="6" w:tplc="0416000F" w:tentative="1">
      <w:start w:val="1"/>
      <w:numFmt w:val="decimal"/>
      <w:lvlText w:val="%7."/>
      <w:lvlJc w:val="left"/>
      <w:pPr>
        <w:ind w:left="5685" w:hanging="360"/>
      </w:pPr>
    </w:lvl>
    <w:lvl w:ilvl="7" w:tplc="04160019" w:tentative="1">
      <w:start w:val="1"/>
      <w:numFmt w:val="lowerLetter"/>
      <w:lvlText w:val="%8."/>
      <w:lvlJc w:val="left"/>
      <w:pPr>
        <w:ind w:left="6405" w:hanging="360"/>
      </w:pPr>
    </w:lvl>
    <w:lvl w:ilvl="8" w:tplc="0416001B" w:tentative="1">
      <w:start w:val="1"/>
      <w:numFmt w:val="lowerRoman"/>
      <w:lvlText w:val="%9."/>
      <w:lvlJc w:val="right"/>
      <w:pPr>
        <w:ind w:left="7125" w:hanging="180"/>
      </w:pPr>
    </w:lvl>
  </w:abstractNum>
  <w:abstractNum w:abstractNumId="11">
    <w:nsid w:val="35861609"/>
    <w:multiLevelType w:val="hybridMultilevel"/>
    <w:tmpl w:val="B61E0CCE"/>
    <w:lvl w:ilvl="0" w:tplc="6E7ADA42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55" w:hanging="360"/>
      </w:pPr>
    </w:lvl>
    <w:lvl w:ilvl="2" w:tplc="0416001B" w:tentative="1">
      <w:start w:val="1"/>
      <w:numFmt w:val="lowerRoman"/>
      <w:lvlText w:val="%3."/>
      <w:lvlJc w:val="right"/>
      <w:pPr>
        <w:ind w:left="2475" w:hanging="180"/>
      </w:pPr>
    </w:lvl>
    <w:lvl w:ilvl="3" w:tplc="0416000F" w:tentative="1">
      <w:start w:val="1"/>
      <w:numFmt w:val="decimal"/>
      <w:lvlText w:val="%4."/>
      <w:lvlJc w:val="left"/>
      <w:pPr>
        <w:ind w:left="3195" w:hanging="360"/>
      </w:pPr>
    </w:lvl>
    <w:lvl w:ilvl="4" w:tplc="04160019" w:tentative="1">
      <w:start w:val="1"/>
      <w:numFmt w:val="lowerLetter"/>
      <w:lvlText w:val="%5."/>
      <w:lvlJc w:val="left"/>
      <w:pPr>
        <w:ind w:left="3915" w:hanging="360"/>
      </w:pPr>
    </w:lvl>
    <w:lvl w:ilvl="5" w:tplc="0416001B" w:tentative="1">
      <w:start w:val="1"/>
      <w:numFmt w:val="lowerRoman"/>
      <w:lvlText w:val="%6."/>
      <w:lvlJc w:val="right"/>
      <w:pPr>
        <w:ind w:left="4635" w:hanging="180"/>
      </w:pPr>
    </w:lvl>
    <w:lvl w:ilvl="6" w:tplc="0416000F" w:tentative="1">
      <w:start w:val="1"/>
      <w:numFmt w:val="decimal"/>
      <w:lvlText w:val="%7."/>
      <w:lvlJc w:val="left"/>
      <w:pPr>
        <w:ind w:left="5355" w:hanging="360"/>
      </w:pPr>
    </w:lvl>
    <w:lvl w:ilvl="7" w:tplc="04160019" w:tentative="1">
      <w:start w:val="1"/>
      <w:numFmt w:val="lowerLetter"/>
      <w:lvlText w:val="%8."/>
      <w:lvlJc w:val="left"/>
      <w:pPr>
        <w:ind w:left="6075" w:hanging="360"/>
      </w:pPr>
    </w:lvl>
    <w:lvl w:ilvl="8" w:tplc="0416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12">
    <w:nsid w:val="3C844E18"/>
    <w:multiLevelType w:val="multilevel"/>
    <w:tmpl w:val="75CA59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0AB5064"/>
    <w:multiLevelType w:val="hybridMultilevel"/>
    <w:tmpl w:val="8CECC6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FF24A1"/>
    <w:multiLevelType w:val="hybridMultilevel"/>
    <w:tmpl w:val="9DD4493A"/>
    <w:lvl w:ilvl="0" w:tplc="CA48A146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25" w:hanging="360"/>
      </w:pPr>
    </w:lvl>
    <w:lvl w:ilvl="2" w:tplc="0416001B" w:tentative="1">
      <w:start w:val="1"/>
      <w:numFmt w:val="lowerRoman"/>
      <w:lvlText w:val="%3."/>
      <w:lvlJc w:val="right"/>
      <w:pPr>
        <w:ind w:left="2445" w:hanging="180"/>
      </w:pPr>
    </w:lvl>
    <w:lvl w:ilvl="3" w:tplc="0416000F" w:tentative="1">
      <w:start w:val="1"/>
      <w:numFmt w:val="decimal"/>
      <w:lvlText w:val="%4."/>
      <w:lvlJc w:val="left"/>
      <w:pPr>
        <w:ind w:left="3165" w:hanging="360"/>
      </w:pPr>
    </w:lvl>
    <w:lvl w:ilvl="4" w:tplc="04160019" w:tentative="1">
      <w:start w:val="1"/>
      <w:numFmt w:val="lowerLetter"/>
      <w:lvlText w:val="%5."/>
      <w:lvlJc w:val="left"/>
      <w:pPr>
        <w:ind w:left="3885" w:hanging="360"/>
      </w:pPr>
    </w:lvl>
    <w:lvl w:ilvl="5" w:tplc="0416001B" w:tentative="1">
      <w:start w:val="1"/>
      <w:numFmt w:val="lowerRoman"/>
      <w:lvlText w:val="%6."/>
      <w:lvlJc w:val="right"/>
      <w:pPr>
        <w:ind w:left="4605" w:hanging="180"/>
      </w:pPr>
    </w:lvl>
    <w:lvl w:ilvl="6" w:tplc="0416000F" w:tentative="1">
      <w:start w:val="1"/>
      <w:numFmt w:val="decimal"/>
      <w:lvlText w:val="%7."/>
      <w:lvlJc w:val="left"/>
      <w:pPr>
        <w:ind w:left="5325" w:hanging="360"/>
      </w:pPr>
    </w:lvl>
    <w:lvl w:ilvl="7" w:tplc="04160019" w:tentative="1">
      <w:start w:val="1"/>
      <w:numFmt w:val="lowerLetter"/>
      <w:lvlText w:val="%8."/>
      <w:lvlJc w:val="left"/>
      <w:pPr>
        <w:ind w:left="6045" w:hanging="360"/>
      </w:pPr>
    </w:lvl>
    <w:lvl w:ilvl="8" w:tplc="0416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>
    <w:nsid w:val="63696E0D"/>
    <w:multiLevelType w:val="hybridMultilevel"/>
    <w:tmpl w:val="DEFC291C"/>
    <w:lvl w:ilvl="0" w:tplc="0416000F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>
    <w:nsid w:val="6B4158CB"/>
    <w:multiLevelType w:val="hybridMultilevel"/>
    <w:tmpl w:val="09AA2C4E"/>
    <w:lvl w:ilvl="0" w:tplc="0416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7">
    <w:nsid w:val="7A3067D8"/>
    <w:multiLevelType w:val="multilevel"/>
    <w:tmpl w:val="0ADAA3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E694F50"/>
    <w:multiLevelType w:val="hybridMultilevel"/>
    <w:tmpl w:val="E5CED04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8"/>
  </w:num>
  <w:num w:numId="3">
    <w:abstractNumId w:val="0"/>
  </w:num>
  <w:num w:numId="4">
    <w:abstractNumId w:val="6"/>
  </w:num>
  <w:num w:numId="5">
    <w:abstractNumId w:val="7"/>
  </w:num>
  <w:num w:numId="6">
    <w:abstractNumId w:val="17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5"/>
  </w:num>
  <w:num w:numId="11">
    <w:abstractNumId w:val="16"/>
  </w:num>
  <w:num w:numId="12">
    <w:abstractNumId w:val="3"/>
  </w:num>
  <w:num w:numId="13">
    <w:abstractNumId w:val="10"/>
  </w:num>
  <w:num w:numId="14">
    <w:abstractNumId w:val="4"/>
  </w:num>
  <w:num w:numId="15">
    <w:abstractNumId w:val="2"/>
  </w:num>
  <w:num w:numId="16">
    <w:abstractNumId w:val="11"/>
  </w:num>
  <w:num w:numId="17">
    <w:abstractNumId w:val="14"/>
  </w:num>
  <w:num w:numId="18">
    <w:abstractNumId w:val="1"/>
  </w:num>
  <w:num w:numId="19">
    <w:abstractNumId w:val="9"/>
  </w:num>
  <w:num w:numId="20">
    <w:abstractNumId w:val="5"/>
  </w:num>
  <w:num w:numId="21">
    <w:abstractNumId w:val="5"/>
    <w:lvlOverride w:ilvl="0">
      <w:startOverride w:val="1"/>
    </w:lvlOverride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622"/>
    <w:rsid w:val="00002B85"/>
    <w:rsid w:val="00013EC6"/>
    <w:rsid w:val="0001575D"/>
    <w:rsid w:val="00017BBF"/>
    <w:rsid w:val="00020D9C"/>
    <w:rsid w:val="00027B43"/>
    <w:rsid w:val="00031AB8"/>
    <w:rsid w:val="00031D29"/>
    <w:rsid w:val="00036750"/>
    <w:rsid w:val="00042B52"/>
    <w:rsid w:val="000454EC"/>
    <w:rsid w:val="00072039"/>
    <w:rsid w:val="00072E45"/>
    <w:rsid w:val="000852A9"/>
    <w:rsid w:val="000922B1"/>
    <w:rsid w:val="0009322B"/>
    <w:rsid w:val="0009539A"/>
    <w:rsid w:val="000972BF"/>
    <w:rsid w:val="000A374B"/>
    <w:rsid w:val="000A76EB"/>
    <w:rsid w:val="000B1CAF"/>
    <w:rsid w:val="000C0214"/>
    <w:rsid w:val="000C1EC2"/>
    <w:rsid w:val="000C20F4"/>
    <w:rsid w:val="000D2A8B"/>
    <w:rsid w:val="000D314F"/>
    <w:rsid w:val="000D4352"/>
    <w:rsid w:val="000D520D"/>
    <w:rsid w:val="000D750A"/>
    <w:rsid w:val="000F02C9"/>
    <w:rsid w:val="000F60B2"/>
    <w:rsid w:val="00100874"/>
    <w:rsid w:val="001134A7"/>
    <w:rsid w:val="00114FD7"/>
    <w:rsid w:val="00116AAC"/>
    <w:rsid w:val="00117A3F"/>
    <w:rsid w:val="00123B29"/>
    <w:rsid w:val="00124390"/>
    <w:rsid w:val="00125AB9"/>
    <w:rsid w:val="00131F7A"/>
    <w:rsid w:val="00144384"/>
    <w:rsid w:val="00153922"/>
    <w:rsid w:val="001549B9"/>
    <w:rsid w:val="00161520"/>
    <w:rsid w:val="00162BE3"/>
    <w:rsid w:val="0016311D"/>
    <w:rsid w:val="00173D3B"/>
    <w:rsid w:val="00182E4F"/>
    <w:rsid w:val="001840CB"/>
    <w:rsid w:val="00186643"/>
    <w:rsid w:val="00187AA8"/>
    <w:rsid w:val="00190BCE"/>
    <w:rsid w:val="001A6579"/>
    <w:rsid w:val="001B4D35"/>
    <w:rsid w:val="001B7209"/>
    <w:rsid w:val="001B749B"/>
    <w:rsid w:val="001C0CAF"/>
    <w:rsid w:val="001C5C28"/>
    <w:rsid w:val="001D091E"/>
    <w:rsid w:val="001D2C1A"/>
    <w:rsid w:val="001D305D"/>
    <w:rsid w:val="001E4362"/>
    <w:rsid w:val="001E7587"/>
    <w:rsid w:val="001F2371"/>
    <w:rsid w:val="001F26D6"/>
    <w:rsid w:val="001F74B1"/>
    <w:rsid w:val="001F7571"/>
    <w:rsid w:val="002119EB"/>
    <w:rsid w:val="002148B8"/>
    <w:rsid w:val="00223FE9"/>
    <w:rsid w:val="00225177"/>
    <w:rsid w:val="00225726"/>
    <w:rsid w:val="00225765"/>
    <w:rsid w:val="00227B8C"/>
    <w:rsid w:val="002409CF"/>
    <w:rsid w:val="0024201F"/>
    <w:rsid w:val="00242AA8"/>
    <w:rsid w:val="00247CAC"/>
    <w:rsid w:val="00250BB1"/>
    <w:rsid w:val="00254AD4"/>
    <w:rsid w:val="00257B36"/>
    <w:rsid w:val="00266CA8"/>
    <w:rsid w:val="00271E2F"/>
    <w:rsid w:val="00280D04"/>
    <w:rsid w:val="00281BC9"/>
    <w:rsid w:val="00293C0C"/>
    <w:rsid w:val="002A0D5B"/>
    <w:rsid w:val="002A3724"/>
    <w:rsid w:val="002B182D"/>
    <w:rsid w:val="002B2EFB"/>
    <w:rsid w:val="002B7A25"/>
    <w:rsid w:val="002C17CC"/>
    <w:rsid w:val="002C17EE"/>
    <w:rsid w:val="002C2B51"/>
    <w:rsid w:val="002C42EE"/>
    <w:rsid w:val="002C6FFA"/>
    <w:rsid w:val="002D2A94"/>
    <w:rsid w:val="002E123C"/>
    <w:rsid w:val="002E1D96"/>
    <w:rsid w:val="002E28DC"/>
    <w:rsid w:val="002F01E8"/>
    <w:rsid w:val="002F47D3"/>
    <w:rsid w:val="002F518C"/>
    <w:rsid w:val="002F569F"/>
    <w:rsid w:val="002F7E60"/>
    <w:rsid w:val="00300658"/>
    <w:rsid w:val="00300BEC"/>
    <w:rsid w:val="00303822"/>
    <w:rsid w:val="00304A76"/>
    <w:rsid w:val="00305C84"/>
    <w:rsid w:val="00307275"/>
    <w:rsid w:val="003112D7"/>
    <w:rsid w:val="003116E4"/>
    <w:rsid w:val="00311A5A"/>
    <w:rsid w:val="00326ADB"/>
    <w:rsid w:val="0033218C"/>
    <w:rsid w:val="00333F89"/>
    <w:rsid w:val="00342810"/>
    <w:rsid w:val="00345CF1"/>
    <w:rsid w:val="00350A75"/>
    <w:rsid w:val="003519F0"/>
    <w:rsid w:val="00352750"/>
    <w:rsid w:val="00353BC8"/>
    <w:rsid w:val="00353D6B"/>
    <w:rsid w:val="00357452"/>
    <w:rsid w:val="00381BFE"/>
    <w:rsid w:val="0038411B"/>
    <w:rsid w:val="00386F3F"/>
    <w:rsid w:val="00391622"/>
    <w:rsid w:val="00391F69"/>
    <w:rsid w:val="00394F05"/>
    <w:rsid w:val="00394F9F"/>
    <w:rsid w:val="00395FF5"/>
    <w:rsid w:val="003A14FA"/>
    <w:rsid w:val="003A1E90"/>
    <w:rsid w:val="003A3A93"/>
    <w:rsid w:val="003A6E0F"/>
    <w:rsid w:val="003A7823"/>
    <w:rsid w:val="003B2CB9"/>
    <w:rsid w:val="003B6AF0"/>
    <w:rsid w:val="003C1A9B"/>
    <w:rsid w:val="003C3892"/>
    <w:rsid w:val="003C44DA"/>
    <w:rsid w:val="003C5864"/>
    <w:rsid w:val="003D20B6"/>
    <w:rsid w:val="003E1206"/>
    <w:rsid w:val="003E12D8"/>
    <w:rsid w:val="003F06CA"/>
    <w:rsid w:val="003F35AC"/>
    <w:rsid w:val="004003AC"/>
    <w:rsid w:val="00417179"/>
    <w:rsid w:val="00421665"/>
    <w:rsid w:val="00422EC8"/>
    <w:rsid w:val="00423AF9"/>
    <w:rsid w:val="00424CB4"/>
    <w:rsid w:val="00425154"/>
    <w:rsid w:val="004301BE"/>
    <w:rsid w:val="00433EE2"/>
    <w:rsid w:val="00441067"/>
    <w:rsid w:val="00441F5B"/>
    <w:rsid w:val="004454FC"/>
    <w:rsid w:val="00452984"/>
    <w:rsid w:val="004532D8"/>
    <w:rsid w:val="004665B3"/>
    <w:rsid w:val="0047284D"/>
    <w:rsid w:val="00474186"/>
    <w:rsid w:val="00477C30"/>
    <w:rsid w:val="00477EE0"/>
    <w:rsid w:val="004815E1"/>
    <w:rsid w:val="0048260A"/>
    <w:rsid w:val="00483C8A"/>
    <w:rsid w:val="00487C70"/>
    <w:rsid w:val="00494139"/>
    <w:rsid w:val="004A0FA8"/>
    <w:rsid w:val="004A3F1B"/>
    <w:rsid w:val="004B0F0D"/>
    <w:rsid w:val="004B422C"/>
    <w:rsid w:val="004C2FA3"/>
    <w:rsid w:val="004D4C99"/>
    <w:rsid w:val="004D7A0C"/>
    <w:rsid w:val="004E5717"/>
    <w:rsid w:val="004E592E"/>
    <w:rsid w:val="004F4D31"/>
    <w:rsid w:val="005012FB"/>
    <w:rsid w:val="00503A57"/>
    <w:rsid w:val="00505639"/>
    <w:rsid w:val="00505A64"/>
    <w:rsid w:val="00505C4B"/>
    <w:rsid w:val="00506972"/>
    <w:rsid w:val="00510B05"/>
    <w:rsid w:val="00524CD5"/>
    <w:rsid w:val="00526661"/>
    <w:rsid w:val="00530163"/>
    <w:rsid w:val="00541232"/>
    <w:rsid w:val="0054626F"/>
    <w:rsid w:val="005466A0"/>
    <w:rsid w:val="005516FA"/>
    <w:rsid w:val="0055323B"/>
    <w:rsid w:val="00562BAD"/>
    <w:rsid w:val="005663FC"/>
    <w:rsid w:val="0057009F"/>
    <w:rsid w:val="0057374C"/>
    <w:rsid w:val="005737C1"/>
    <w:rsid w:val="005748B7"/>
    <w:rsid w:val="00580B64"/>
    <w:rsid w:val="0058768A"/>
    <w:rsid w:val="00593AC9"/>
    <w:rsid w:val="00594E74"/>
    <w:rsid w:val="005A2078"/>
    <w:rsid w:val="005A26CF"/>
    <w:rsid w:val="005A355B"/>
    <w:rsid w:val="005B063D"/>
    <w:rsid w:val="005B6784"/>
    <w:rsid w:val="005B7FDB"/>
    <w:rsid w:val="005C294B"/>
    <w:rsid w:val="005C2ACB"/>
    <w:rsid w:val="005C4E9A"/>
    <w:rsid w:val="005C50D8"/>
    <w:rsid w:val="005C6EE6"/>
    <w:rsid w:val="005E34C0"/>
    <w:rsid w:val="005F676E"/>
    <w:rsid w:val="00607F23"/>
    <w:rsid w:val="00615C2D"/>
    <w:rsid w:val="00615EEA"/>
    <w:rsid w:val="00626982"/>
    <w:rsid w:val="006306C8"/>
    <w:rsid w:val="00632802"/>
    <w:rsid w:val="00636562"/>
    <w:rsid w:val="00637BD6"/>
    <w:rsid w:val="006524F8"/>
    <w:rsid w:val="0065418A"/>
    <w:rsid w:val="00662613"/>
    <w:rsid w:val="00667F56"/>
    <w:rsid w:val="006767FF"/>
    <w:rsid w:val="00686F54"/>
    <w:rsid w:val="00692542"/>
    <w:rsid w:val="00696B87"/>
    <w:rsid w:val="006A018F"/>
    <w:rsid w:val="006A071C"/>
    <w:rsid w:val="006A1446"/>
    <w:rsid w:val="006A5B67"/>
    <w:rsid w:val="006A61FD"/>
    <w:rsid w:val="006B44BD"/>
    <w:rsid w:val="006C0C53"/>
    <w:rsid w:val="006C113B"/>
    <w:rsid w:val="006C14C7"/>
    <w:rsid w:val="006C5B81"/>
    <w:rsid w:val="006C6B02"/>
    <w:rsid w:val="006D0C61"/>
    <w:rsid w:val="006D1C75"/>
    <w:rsid w:val="006D36CB"/>
    <w:rsid w:val="006E34BD"/>
    <w:rsid w:val="006F22F6"/>
    <w:rsid w:val="006F5E0F"/>
    <w:rsid w:val="007044EC"/>
    <w:rsid w:val="00704F50"/>
    <w:rsid w:val="00712827"/>
    <w:rsid w:val="00714BFE"/>
    <w:rsid w:val="0072010E"/>
    <w:rsid w:val="007229B1"/>
    <w:rsid w:val="00722F20"/>
    <w:rsid w:val="00724288"/>
    <w:rsid w:val="00724678"/>
    <w:rsid w:val="00725D82"/>
    <w:rsid w:val="0073491C"/>
    <w:rsid w:val="00747B9D"/>
    <w:rsid w:val="00762D6C"/>
    <w:rsid w:val="00764D97"/>
    <w:rsid w:val="00765669"/>
    <w:rsid w:val="007677CD"/>
    <w:rsid w:val="00773420"/>
    <w:rsid w:val="00773B94"/>
    <w:rsid w:val="007749F5"/>
    <w:rsid w:val="00781C6D"/>
    <w:rsid w:val="00787060"/>
    <w:rsid w:val="0079234F"/>
    <w:rsid w:val="007A13AA"/>
    <w:rsid w:val="007A2D34"/>
    <w:rsid w:val="007A3A22"/>
    <w:rsid w:val="007B19BE"/>
    <w:rsid w:val="007B3347"/>
    <w:rsid w:val="007B5918"/>
    <w:rsid w:val="007B5B76"/>
    <w:rsid w:val="007B6796"/>
    <w:rsid w:val="007B70F6"/>
    <w:rsid w:val="007C5BD4"/>
    <w:rsid w:val="007D1557"/>
    <w:rsid w:val="007D1F71"/>
    <w:rsid w:val="007D280C"/>
    <w:rsid w:val="007D3E76"/>
    <w:rsid w:val="007D6DC3"/>
    <w:rsid w:val="007D77E1"/>
    <w:rsid w:val="007E16D2"/>
    <w:rsid w:val="007E1A0B"/>
    <w:rsid w:val="007E7F87"/>
    <w:rsid w:val="007F17F7"/>
    <w:rsid w:val="007F1FD4"/>
    <w:rsid w:val="007F4795"/>
    <w:rsid w:val="007F5146"/>
    <w:rsid w:val="0080449E"/>
    <w:rsid w:val="00805953"/>
    <w:rsid w:val="008065FC"/>
    <w:rsid w:val="008102A7"/>
    <w:rsid w:val="008105A1"/>
    <w:rsid w:val="00810BA2"/>
    <w:rsid w:val="008113D7"/>
    <w:rsid w:val="008137C3"/>
    <w:rsid w:val="00815313"/>
    <w:rsid w:val="00815C0A"/>
    <w:rsid w:val="00815FCA"/>
    <w:rsid w:val="00821F0E"/>
    <w:rsid w:val="00834036"/>
    <w:rsid w:val="008372F4"/>
    <w:rsid w:val="00845ACE"/>
    <w:rsid w:val="008512FE"/>
    <w:rsid w:val="008529C0"/>
    <w:rsid w:val="008548E1"/>
    <w:rsid w:val="00860C06"/>
    <w:rsid w:val="00861187"/>
    <w:rsid w:val="008738AC"/>
    <w:rsid w:val="00880BFC"/>
    <w:rsid w:val="00880EB1"/>
    <w:rsid w:val="00882429"/>
    <w:rsid w:val="00883439"/>
    <w:rsid w:val="008842FD"/>
    <w:rsid w:val="008856C5"/>
    <w:rsid w:val="00886A93"/>
    <w:rsid w:val="00891489"/>
    <w:rsid w:val="00892878"/>
    <w:rsid w:val="00892E93"/>
    <w:rsid w:val="00896EFB"/>
    <w:rsid w:val="008A1654"/>
    <w:rsid w:val="008A4491"/>
    <w:rsid w:val="008A4E45"/>
    <w:rsid w:val="008A66E9"/>
    <w:rsid w:val="008B1DDB"/>
    <w:rsid w:val="008C4DAF"/>
    <w:rsid w:val="008C614D"/>
    <w:rsid w:val="008C79F7"/>
    <w:rsid w:val="008D1999"/>
    <w:rsid w:val="008E06D0"/>
    <w:rsid w:val="008F6180"/>
    <w:rsid w:val="00902806"/>
    <w:rsid w:val="0090570C"/>
    <w:rsid w:val="009134CD"/>
    <w:rsid w:val="009174B3"/>
    <w:rsid w:val="00917EE4"/>
    <w:rsid w:val="00931055"/>
    <w:rsid w:val="0093184B"/>
    <w:rsid w:val="00933A23"/>
    <w:rsid w:val="00933DBF"/>
    <w:rsid w:val="00933F7E"/>
    <w:rsid w:val="0093782A"/>
    <w:rsid w:val="00945736"/>
    <w:rsid w:val="00945DE5"/>
    <w:rsid w:val="00947BF8"/>
    <w:rsid w:val="0095454C"/>
    <w:rsid w:val="009563E0"/>
    <w:rsid w:val="00960B91"/>
    <w:rsid w:val="00970FDF"/>
    <w:rsid w:val="00971940"/>
    <w:rsid w:val="00973364"/>
    <w:rsid w:val="009761B1"/>
    <w:rsid w:val="00976781"/>
    <w:rsid w:val="00980612"/>
    <w:rsid w:val="00980D57"/>
    <w:rsid w:val="0098147A"/>
    <w:rsid w:val="0098547F"/>
    <w:rsid w:val="00991B40"/>
    <w:rsid w:val="009953C9"/>
    <w:rsid w:val="009961D4"/>
    <w:rsid w:val="009A0A5C"/>
    <w:rsid w:val="009A0E40"/>
    <w:rsid w:val="009A326F"/>
    <w:rsid w:val="009A39CA"/>
    <w:rsid w:val="009B056D"/>
    <w:rsid w:val="009B15AD"/>
    <w:rsid w:val="009B5A2D"/>
    <w:rsid w:val="009C185C"/>
    <w:rsid w:val="009C5400"/>
    <w:rsid w:val="009C76D8"/>
    <w:rsid w:val="009E1A90"/>
    <w:rsid w:val="009E3D60"/>
    <w:rsid w:val="009E3E8B"/>
    <w:rsid w:val="009E52BD"/>
    <w:rsid w:val="009E534F"/>
    <w:rsid w:val="009E5E14"/>
    <w:rsid w:val="009E61C8"/>
    <w:rsid w:val="009F1820"/>
    <w:rsid w:val="009F28FA"/>
    <w:rsid w:val="009F68FD"/>
    <w:rsid w:val="009F7D11"/>
    <w:rsid w:val="009F7D3B"/>
    <w:rsid w:val="00A0347D"/>
    <w:rsid w:val="00A04BF1"/>
    <w:rsid w:val="00A0625C"/>
    <w:rsid w:val="00A06A1E"/>
    <w:rsid w:val="00A105D7"/>
    <w:rsid w:val="00A14A3C"/>
    <w:rsid w:val="00A272DE"/>
    <w:rsid w:val="00A2794D"/>
    <w:rsid w:val="00A34997"/>
    <w:rsid w:val="00A34B5B"/>
    <w:rsid w:val="00A34BBF"/>
    <w:rsid w:val="00A363B7"/>
    <w:rsid w:val="00A37DA1"/>
    <w:rsid w:val="00A43881"/>
    <w:rsid w:val="00A447B7"/>
    <w:rsid w:val="00A4747C"/>
    <w:rsid w:val="00A5016F"/>
    <w:rsid w:val="00A605E4"/>
    <w:rsid w:val="00A61F97"/>
    <w:rsid w:val="00A65385"/>
    <w:rsid w:val="00A73269"/>
    <w:rsid w:val="00A74A7C"/>
    <w:rsid w:val="00A765CA"/>
    <w:rsid w:val="00A8266C"/>
    <w:rsid w:val="00A84069"/>
    <w:rsid w:val="00A87BE9"/>
    <w:rsid w:val="00A906A4"/>
    <w:rsid w:val="00A925B2"/>
    <w:rsid w:val="00A9563B"/>
    <w:rsid w:val="00A96E13"/>
    <w:rsid w:val="00AA2C60"/>
    <w:rsid w:val="00AA2EEF"/>
    <w:rsid w:val="00AA4F11"/>
    <w:rsid w:val="00AB0293"/>
    <w:rsid w:val="00AB157C"/>
    <w:rsid w:val="00AB75B6"/>
    <w:rsid w:val="00AC6AEB"/>
    <w:rsid w:val="00AD3A6B"/>
    <w:rsid w:val="00AE0023"/>
    <w:rsid w:val="00AE1981"/>
    <w:rsid w:val="00AE3D97"/>
    <w:rsid w:val="00AF1E69"/>
    <w:rsid w:val="00AF207E"/>
    <w:rsid w:val="00AF5E56"/>
    <w:rsid w:val="00AF7254"/>
    <w:rsid w:val="00B0064D"/>
    <w:rsid w:val="00B01EE6"/>
    <w:rsid w:val="00B047B8"/>
    <w:rsid w:val="00B103C3"/>
    <w:rsid w:val="00B175FB"/>
    <w:rsid w:val="00B247A3"/>
    <w:rsid w:val="00B26730"/>
    <w:rsid w:val="00B32BC2"/>
    <w:rsid w:val="00B366BC"/>
    <w:rsid w:val="00B51955"/>
    <w:rsid w:val="00B52113"/>
    <w:rsid w:val="00B56282"/>
    <w:rsid w:val="00B64D30"/>
    <w:rsid w:val="00B67C62"/>
    <w:rsid w:val="00B7156C"/>
    <w:rsid w:val="00B73029"/>
    <w:rsid w:val="00B73426"/>
    <w:rsid w:val="00B74B64"/>
    <w:rsid w:val="00B75A9E"/>
    <w:rsid w:val="00B763BF"/>
    <w:rsid w:val="00B800BA"/>
    <w:rsid w:val="00B80987"/>
    <w:rsid w:val="00B82BA5"/>
    <w:rsid w:val="00B83ACA"/>
    <w:rsid w:val="00B93DB5"/>
    <w:rsid w:val="00B948DB"/>
    <w:rsid w:val="00BA00C1"/>
    <w:rsid w:val="00BA6CAD"/>
    <w:rsid w:val="00BA7C45"/>
    <w:rsid w:val="00BB049F"/>
    <w:rsid w:val="00BB0652"/>
    <w:rsid w:val="00BB457D"/>
    <w:rsid w:val="00BB7C1F"/>
    <w:rsid w:val="00BC1E0A"/>
    <w:rsid w:val="00BD33A1"/>
    <w:rsid w:val="00BD71BD"/>
    <w:rsid w:val="00BE1325"/>
    <w:rsid w:val="00BE40CB"/>
    <w:rsid w:val="00BE4452"/>
    <w:rsid w:val="00BE6509"/>
    <w:rsid w:val="00BE7CBD"/>
    <w:rsid w:val="00BF0CD5"/>
    <w:rsid w:val="00BF1A0E"/>
    <w:rsid w:val="00BF75F8"/>
    <w:rsid w:val="00C00CB5"/>
    <w:rsid w:val="00C02EA6"/>
    <w:rsid w:val="00C06E45"/>
    <w:rsid w:val="00C110C0"/>
    <w:rsid w:val="00C12996"/>
    <w:rsid w:val="00C14B69"/>
    <w:rsid w:val="00C14B9E"/>
    <w:rsid w:val="00C160E9"/>
    <w:rsid w:val="00C16D92"/>
    <w:rsid w:val="00C270EE"/>
    <w:rsid w:val="00C34A32"/>
    <w:rsid w:val="00C410BC"/>
    <w:rsid w:val="00C41D18"/>
    <w:rsid w:val="00C42202"/>
    <w:rsid w:val="00C433E6"/>
    <w:rsid w:val="00C43FA9"/>
    <w:rsid w:val="00C467BB"/>
    <w:rsid w:val="00C46810"/>
    <w:rsid w:val="00C56E51"/>
    <w:rsid w:val="00C57448"/>
    <w:rsid w:val="00C60ADA"/>
    <w:rsid w:val="00C648F9"/>
    <w:rsid w:val="00C70F04"/>
    <w:rsid w:val="00C741ED"/>
    <w:rsid w:val="00C777FD"/>
    <w:rsid w:val="00C80C86"/>
    <w:rsid w:val="00C840D3"/>
    <w:rsid w:val="00C94622"/>
    <w:rsid w:val="00C95CD6"/>
    <w:rsid w:val="00CA63AC"/>
    <w:rsid w:val="00CB78F6"/>
    <w:rsid w:val="00CD1E8D"/>
    <w:rsid w:val="00CD2F8A"/>
    <w:rsid w:val="00CD6BE2"/>
    <w:rsid w:val="00CE237F"/>
    <w:rsid w:val="00CE2B98"/>
    <w:rsid w:val="00CF08B0"/>
    <w:rsid w:val="00CF326B"/>
    <w:rsid w:val="00CF42CB"/>
    <w:rsid w:val="00D01B62"/>
    <w:rsid w:val="00D033A1"/>
    <w:rsid w:val="00D037C7"/>
    <w:rsid w:val="00D03E7E"/>
    <w:rsid w:val="00D12EB0"/>
    <w:rsid w:val="00D21E62"/>
    <w:rsid w:val="00D23340"/>
    <w:rsid w:val="00D24A04"/>
    <w:rsid w:val="00D30EF1"/>
    <w:rsid w:val="00D3175B"/>
    <w:rsid w:val="00D31C51"/>
    <w:rsid w:val="00D41C1A"/>
    <w:rsid w:val="00D43A56"/>
    <w:rsid w:val="00D44748"/>
    <w:rsid w:val="00D5119D"/>
    <w:rsid w:val="00D61F3E"/>
    <w:rsid w:val="00D66861"/>
    <w:rsid w:val="00D66BE0"/>
    <w:rsid w:val="00D70F9E"/>
    <w:rsid w:val="00D74025"/>
    <w:rsid w:val="00D77F37"/>
    <w:rsid w:val="00D84F0C"/>
    <w:rsid w:val="00D85D9F"/>
    <w:rsid w:val="00D86019"/>
    <w:rsid w:val="00D86D0B"/>
    <w:rsid w:val="00D9161E"/>
    <w:rsid w:val="00D9380A"/>
    <w:rsid w:val="00D95862"/>
    <w:rsid w:val="00DA4ECF"/>
    <w:rsid w:val="00DB11C2"/>
    <w:rsid w:val="00DB5041"/>
    <w:rsid w:val="00DB7991"/>
    <w:rsid w:val="00DC0A47"/>
    <w:rsid w:val="00DC3C60"/>
    <w:rsid w:val="00DC438C"/>
    <w:rsid w:val="00DD01F1"/>
    <w:rsid w:val="00DD0D6D"/>
    <w:rsid w:val="00DD1803"/>
    <w:rsid w:val="00DD7674"/>
    <w:rsid w:val="00DE23B1"/>
    <w:rsid w:val="00DF0A9E"/>
    <w:rsid w:val="00DF0B3E"/>
    <w:rsid w:val="00DF4808"/>
    <w:rsid w:val="00E03D75"/>
    <w:rsid w:val="00E10E81"/>
    <w:rsid w:val="00E11FB9"/>
    <w:rsid w:val="00E13DE6"/>
    <w:rsid w:val="00E1757F"/>
    <w:rsid w:val="00E20495"/>
    <w:rsid w:val="00E2145C"/>
    <w:rsid w:val="00E2199D"/>
    <w:rsid w:val="00E21B17"/>
    <w:rsid w:val="00E2409F"/>
    <w:rsid w:val="00E302F7"/>
    <w:rsid w:val="00E32146"/>
    <w:rsid w:val="00E33530"/>
    <w:rsid w:val="00E3517B"/>
    <w:rsid w:val="00E46202"/>
    <w:rsid w:val="00E46CD8"/>
    <w:rsid w:val="00E47446"/>
    <w:rsid w:val="00E55A01"/>
    <w:rsid w:val="00E674F4"/>
    <w:rsid w:val="00E76090"/>
    <w:rsid w:val="00E8298F"/>
    <w:rsid w:val="00E91CD3"/>
    <w:rsid w:val="00E942B8"/>
    <w:rsid w:val="00E94409"/>
    <w:rsid w:val="00E945F9"/>
    <w:rsid w:val="00E971B0"/>
    <w:rsid w:val="00EB0428"/>
    <w:rsid w:val="00EB1FC7"/>
    <w:rsid w:val="00EC320A"/>
    <w:rsid w:val="00EC7212"/>
    <w:rsid w:val="00EC7D51"/>
    <w:rsid w:val="00ED6F10"/>
    <w:rsid w:val="00EE7637"/>
    <w:rsid w:val="00EF5626"/>
    <w:rsid w:val="00F00DE1"/>
    <w:rsid w:val="00F029C1"/>
    <w:rsid w:val="00F0343F"/>
    <w:rsid w:val="00F03D52"/>
    <w:rsid w:val="00F049A9"/>
    <w:rsid w:val="00F067D0"/>
    <w:rsid w:val="00F11BAE"/>
    <w:rsid w:val="00F121E9"/>
    <w:rsid w:val="00F15E50"/>
    <w:rsid w:val="00F23A06"/>
    <w:rsid w:val="00F318A4"/>
    <w:rsid w:val="00F328E8"/>
    <w:rsid w:val="00F346E2"/>
    <w:rsid w:val="00F42224"/>
    <w:rsid w:val="00F42D1D"/>
    <w:rsid w:val="00F45CEC"/>
    <w:rsid w:val="00F645CD"/>
    <w:rsid w:val="00F661CB"/>
    <w:rsid w:val="00F66CA3"/>
    <w:rsid w:val="00F7073D"/>
    <w:rsid w:val="00F710AB"/>
    <w:rsid w:val="00F71A24"/>
    <w:rsid w:val="00F7798B"/>
    <w:rsid w:val="00F811BA"/>
    <w:rsid w:val="00F971F9"/>
    <w:rsid w:val="00FA28F3"/>
    <w:rsid w:val="00FA319E"/>
    <w:rsid w:val="00FA406B"/>
    <w:rsid w:val="00FA6C7D"/>
    <w:rsid w:val="00FC1686"/>
    <w:rsid w:val="00FC45FA"/>
    <w:rsid w:val="00FC4C49"/>
    <w:rsid w:val="00FE3062"/>
    <w:rsid w:val="00FE5057"/>
    <w:rsid w:val="00FF1DE8"/>
    <w:rsid w:val="04722EA1"/>
    <w:rsid w:val="09687379"/>
    <w:rsid w:val="0FF1C274"/>
    <w:rsid w:val="1823470E"/>
    <w:rsid w:val="19BF176F"/>
    <w:rsid w:val="1D1CC8E9"/>
    <w:rsid w:val="2243B20F"/>
    <w:rsid w:val="2461EC82"/>
    <w:rsid w:val="251FBC08"/>
    <w:rsid w:val="2CC297B2"/>
    <w:rsid w:val="2D3B5423"/>
    <w:rsid w:val="414ECECF"/>
    <w:rsid w:val="448D9582"/>
    <w:rsid w:val="479EC20E"/>
    <w:rsid w:val="4D702519"/>
    <w:rsid w:val="5274A36B"/>
    <w:rsid w:val="5534A568"/>
    <w:rsid w:val="56D075C9"/>
    <w:rsid w:val="5AB8117F"/>
    <w:rsid w:val="648FD622"/>
    <w:rsid w:val="6B0C6106"/>
    <w:rsid w:val="7056E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4FD5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20" w:line="360" w:lineRule="auto"/>
      <w:jc w:val="both"/>
    </w:pPr>
    <w:rPr>
      <w:color w:val="000000"/>
    </w:rPr>
  </w:style>
  <w:style w:type="paragraph" w:styleId="Ttulo1">
    <w:name w:val="heading 1"/>
    <w:basedOn w:val="Normal"/>
    <w:next w:val="Normal"/>
    <w:link w:val="Ttulo1Char"/>
    <w:qFormat/>
    <w:rsid w:val="005A355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1F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F121E9"/>
    <w:pPr>
      <w:keepNext/>
      <w:suppressAutoHyphens/>
      <w:ind w:left="2160" w:hanging="180"/>
      <w:jc w:val="right"/>
      <w:outlineLvl w:val="2"/>
    </w:pPr>
    <w:rPr>
      <w:color w:val="auto"/>
      <w:sz w:val="24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F121E9"/>
    <w:pPr>
      <w:keepNext/>
      <w:suppressAutoHyphens/>
      <w:ind w:left="2880" w:hanging="360"/>
      <w:outlineLvl w:val="3"/>
    </w:pPr>
    <w:rPr>
      <w:b/>
      <w:color w:val="auto"/>
      <w:sz w:val="24"/>
      <w:lang w:val="x-none" w:eastAsia="ar-SA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B1FC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sid w:val="006A018F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505C4B"/>
    <w:pPr>
      <w:ind w:firstLine="720"/>
    </w:pPr>
    <w:rPr>
      <w:color w:val="auto"/>
      <w:sz w:val="24"/>
      <w:szCs w:val="24"/>
      <w:lang w:val="x-none" w:eastAsia="en-US"/>
    </w:rPr>
  </w:style>
  <w:style w:type="character" w:customStyle="1" w:styleId="CorpodetextoChar">
    <w:name w:val="Corpo de texto Char"/>
    <w:link w:val="Corpodetexto"/>
    <w:rsid w:val="00505C4B"/>
    <w:rPr>
      <w:sz w:val="24"/>
      <w:szCs w:val="24"/>
      <w:lang w:eastAsia="en-US"/>
    </w:rPr>
  </w:style>
  <w:style w:type="paragraph" w:customStyle="1" w:styleId="Padre3o">
    <w:name w:val="Padrãe3o"/>
    <w:rsid w:val="00F0343F"/>
    <w:pPr>
      <w:widowControl w:val="0"/>
      <w:autoSpaceDE w:val="0"/>
      <w:autoSpaceDN w:val="0"/>
      <w:adjustRightInd w:val="0"/>
      <w:spacing w:after="120" w:line="360" w:lineRule="auto"/>
      <w:jc w:val="both"/>
    </w:pPr>
    <w:rPr>
      <w:kern w:val="1"/>
      <w:sz w:val="24"/>
      <w:szCs w:val="24"/>
      <w:lang w:eastAsia="zh-CN" w:bidi="hi-IN"/>
    </w:rPr>
  </w:style>
  <w:style w:type="table" w:styleId="Tabelacomgrade">
    <w:name w:val="Table Grid"/>
    <w:basedOn w:val="Tabelanormal"/>
    <w:rsid w:val="00D9161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665B3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Ttulo3Char">
    <w:name w:val="Título 3 Char"/>
    <w:link w:val="Ttulo3"/>
    <w:rsid w:val="00F121E9"/>
    <w:rPr>
      <w:sz w:val="24"/>
      <w:lang w:val="x-none" w:eastAsia="ar-SA"/>
    </w:rPr>
  </w:style>
  <w:style w:type="character" w:customStyle="1" w:styleId="Ttulo4Char">
    <w:name w:val="Título 4 Char"/>
    <w:link w:val="Ttulo4"/>
    <w:rsid w:val="00F121E9"/>
    <w:rPr>
      <w:b/>
      <w:sz w:val="24"/>
      <w:lang w:val="x-none" w:eastAsia="ar-SA"/>
    </w:rPr>
  </w:style>
  <w:style w:type="character" w:customStyle="1" w:styleId="Ttulo2Char">
    <w:name w:val="Título 2 Char"/>
    <w:link w:val="Ttulo2"/>
    <w:semiHidden/>
    <w:rsid w:val="00EB1FC7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Ttulo5Char">
    <w:name w:val="Título 5 Char"/>
    <w:link w:val="Ttulo5"/>
    <w:semiHidden/>
    <w:rsid w:val="00EB1FC7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paragraph" w:styleId="Textoembloco">
    <w:name w:val="Block Text"/>
    <w:basedOn w:val="Normal"/>
    <w:rsid w:val="00EF5626"/>
    <w:pPr>
      <w:ind w:left="851" w:right="99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rsid w:val="00A447B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A447B7"/>
    <w:rPr>
      <w:rFonts w:ascii="Segoe UI" w:hAnsi="Segoe UI" w:cs="Segoe UI"/>
      <w:color w:val="000000"/>
      <w:sz w:val="18"/>
      <w:szCs w:val="18"/>
    </w:rPr>
  </w:style>
  <w:style w:type="character" w:styleId="Forte">
    <w:name w:val="Strong"/>
    <w:qFormat/>
    <w:rsid w:val="00D43A56"/>
    <w:rPr>
      <w:b/>
      <w:bCs/>
    </w:rPr>
  </w:style>
  <w:style w:type="table" w:customStyle="1" w:styleId="NormalTable0">
    <w:name w:val="Normal Table0"/>
    <w:rsid w:val="0044106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rsid w:val="0044106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Corpo">
    <w:name w:val="Corpo"/>
    <w:rsid w:val="0044106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CorpoA">
    <w:name w:val="Corpo A"/>
    <w:rsid w:val="004410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/>
    </w:rPr>
  </w:style>
  <w:style w:type="character" w:customStyle="1" w:styleId="NenhumA">
    <w:name w:val="Nenhum A"/>
    <w:rsid w:val="00441067"/>
    <w:rPr>
      <w:lang w:val="pt-PT"/>
    </w:rPr>
  </w:style>
  <w:style w:type="character" w:customStyle="1" w:styleId="Hyperlink0">
    <w:name w:val="Hyperlink.0"/>
    <w:rsid w:val="00441067"/>
    <w:rPr>
      <w:rFonts w:ascii="Arial" w:eastAsia="Arial" w:hAnsi="Arial" w:cs="Arial"/>
      <w:sz w:val="24"/>
      <w:szCs w:val="24"/>
      <w:u w:val="single" w:color="000066"/>
      <w:lang w:val="pt-PT"/>
    </w:rPr>
  </w:style>
  <w:style w:type="numbering" w:customStyle="1" w:styleId="Letras">
    <w:name w:val="Letras"/>
    <w:rsid w:val="00441067"/>
    <w:pPr>
      <w:numPr>
        <w:numId w:val="19"/>
      </w:numPr>
    </w:pPr>
  </w:style>
  <w:style w:type="paragraph" w:customStyle="1" w:styleId="Default">
    <w:name w:val="Default"/>
    <w:rsid w:val="004410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Arial Unicode MS" w:cs="Arial Unicode MS"/>
      <w:color w:val="000000"/>
      <w:sz w:val="24"/>
      <w:szCs w:val="24"/>
      <w:u w:color="000000"/>
      <w:bdr w:val="nil"/>
      <w:lang w:val="pt-PT"/>
    </w:rPr>
  </w:style>
  <w:style w:type="paragraph" w:customStyle="1" w:styleId="SemEspaamento1">
    <w:name w:val="Sem Espaçamento1"/>
    <w:uiPriority w:val="1"/>
    <w:qFormat/>
    <w:rsid w:val="00441067"/>
    <w:rPr>
      <w:rFonts w:ascii="Calibri" w:eastAsia="Calibri" w:hAnsi="Calibri"/>
      <w:sz w:val="22"/>
      <w:szCs w:val="22"/>
      <w:lang w:eastAsia="en-US"/>
    </w:rPr>
  </w:style>
  <w:style w:type="character" w:styleId="Refdenotaderodap">
    <w:name w:val="footnote reference"/>
    <w:unhideWhenUsed/>
    <w:qFormat/>
    <w:rsid w:val="00441067"/>
    <w:rPr>
      <w:vertAlign w:val="superscript"/>
    </w:rPr>
  </w:style>
  <w:style w:type="character" w:customStyle="1" w:styleId="label1">
    <w:name w:val="label1"/>
    <w:rsid w:val="004E5717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  <w:style w:type="character" w:customStyle="1" w:styleId="Ttulo1Char">
    <w:name w:val="Título 1 Char"/>
    <w:link w:val="Ttulo1"/>
    <w:rsid w:val="005A355B"/>
    <w:rPr>
      <w:rFonts w:ascii="Calibri Light" w:eastAsia="Times New Roman" w:hAnsi="Calibri Light" w:cs="Times New Roman"/>
      <w:b/>
      <w:bCs/>
      <w:color w:val="000000"/>
      <w:kern w:val="32"/>
      <w:sz w:val="32"/>
      <w:szCs w:val="32"/>
    </w:rPr>
  </w:style>
  <w:style w:type="character" w:customStyle="1" w:styleId="label">
    <w:name w:val="label"/>
    <w:rsid w:val="005A355B"/>
  </w:style>
  <w:style w:type="character" w:customStyle="1" w:styleId="MenoPendente1">
    <w:name w:val="Menção Pendente1"/>
    <w:uiPriority w:val="99"/>
    <w:semiHidden/>
    <w:unhideWhenUsed/>
    <w:rsid w:val="008A66E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240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20" w:line="360" w:lineRule="auto"/>
      <w:jc w:val="both"/>
    </w:pPr>
    <w:rPr>
      <w:color w:val="000000"/>
    </w:rPr>
  </w:style>
  <w:style w:type="paragraph" w:styleId="Ttulo1">
    <w:name w:val="heading 1"/>
    <w:basedOn w:val="Normal"/>
    <w:next w:val="Normal"/>
    <w:link w:val="Ttulo1Char"/>
    <w:qFormat/>
    <w:rsid w:val="005A355B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EB1FC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tulo3">
    <w:name w:val="heading 3"/>
    <w:basedOn w:val="Normal"/>
    <w:next w:val="Normal"/>
    <w:link w:val="Ttulo3Char"/>
    <w:qFormat/>
    <w:rsid w:val="00F121E9"/>
    <w:pPr>
      <w:keepNext/>
      <w:suppressAutoHyphens/>
      <w:ind w:left="2160" w:hanging="180"/>
      <w:jc w:val="right"/>
      <w:outlineLvl w:val="2"/>
    </w:pPr>
    <w:rPr>
      <w:color w:val="auto"/>
      <w:sz w:val="24"/>
      <w:lang w:val="x-none" w:eastAsia="ar-SA"/>
    </w:rPr>
  </w:style>
  <w:style w:type="paragraph" w:styleId="Ttulo4">
    <w:name w:val="heading 4"/>
    <w:basedOn w:val="Normal"/>
    <w:next w:val="Normal"/>
    <w:link w:val="Ttulo4Char"/>
    <w:qFormat/>
    <w:rsid w:val="00F121E9"/>
    <w:pPr>
      <w:keepNext/>
      <w:suppressAutoHyphens/>
      <w:ind w:left="2880" w:hanging="360"/>
      <w:outlineLvl w:val="3"/>
    </w:pPr>
    <w:rPr>
      <w:b/>
      <w:color w:val="auto"/>
      <w:sz w:val="24"/>
      <w:lang w:val="x-none" w:eastAsia="ar-SA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EB1FC7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character" w:styleId="Hyperlink">
    <w:name w:val="Hyperlink"/>
    <w:rsid w:val="006A018F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505C4B"/>
    <w:pPr>
      <w:ind w:firstLine="720"/>
    </w:pPr>
    <w:rPr>
      <w:color w:val="auto"/>
      <w:sz w:val="24"/>
      <w:szCs w:val="24"/>
      <w:lang w:val="x-none" w:eastAsia="en-US"/>
    </w:rPr>
  </w:style>
  <w:style w:type="character" w:customStyle="1" w:styleId="CorpodetextoChar">
    <w:name w:val="Corpo de texto Char"/>
    <w:link w:val="Corpodetexto"/>
    <w:rsid w:val="00505C4B"/>
    <w:rPr>
      <w:sz w:val="24"/>
      <w:szCs w:val="24"/>
      <w:lang w:eastAsia="en-US"/>
    </w:rPr>
  </w:style>
  <w:style w:type="paragraph" w:customStyle="1" w:styleId="Padre3o">
    <w:name w:val="Padrãe3o"/>
    <w:rsid w:val="00F0343F"/>
    <w:pPr>
      <w:widowControl w:val="0"/>
      <w:autoSpaceDE w:val="0"/>
      <w:autoSpaceDN w:val="0"/>
      <w:adjustRightInd w:val="0"/>
      <w:spacing w:after="120" w:line="360" w:lineRule="auto"/>
      <w:jc w:val="both"/>
    </w:pPr>
    <w:rPr>
      <w:kern w:val="1"/>
      <w:sz w:val="24"/>
      <w:szCs w:val="24"/>
      <w:lang w:eastAsia="zh-CN" w:bidi="hi-IN"/>
    </w:rPr>
  </w:style>
  <w:style w:type="table" w:styleId="Tabelacomgrade">
    <w:name w:val="Table Grid"/>
    <w:basedOn w:val="Tabelanormal"/>
    <w:rsid w:val="00D9161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4665B3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Ttulo3Char">
    <w:name w:val="Título 3 Char"/>
    <w:link w:val="Ttulo3"/>
    <w:rsid w:val="00F121E9"/>
    <w:rPr>
      <w:sz w:val="24"/>
      <w:lang w:val="x-none" w:eastAsia="ar-SA"/>
    </w:rPr>
  </w:style>
  <w:style w:type="character" w:customStyle="1" w:styleId="Ttulo4Char">
    <w:name w:val="Título 4 Char"/>
    <w:link w:val="Ttulo4"/>
    <w:rsid w:val="00F121E9"/>
    <w:rPr>
      <w:b/>
      <w:sz w:val="24"/>
      <w:lang w:val="x-none" w:eastAsia="ar-SA"/>
    </w:rPr>
  </w:style>
  <w:style w:type="character" w:customStyle="1" w:styleId="Ttulo2Char">
    <w:name w:val="Título 2 Char"/>
    <w:link w:val="Ttulo2"/>
    <w:semiHidden/>
    <w:rsid w:val="00EB1FC7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character" w:customStyle="1" w:styleId="Ttulo5Char">
    <w:name w:val="Título 5 Char"/>
    <w:link w:val="Ttulo5"/>
    <w:semiHidden/>
    <w:rsid w:val="00EB1FC7"/>
    <w:rPr>
      <w:rFonts w:ascii="Calibri" w:eastAsia="Times New Roman" w:hAnsi="Calibri" w:cs="Times New Roman"/>
      <w:b/>
      <w:bCs/>
      <w:i/>
      <w:iCs/>
      <w:color w:val="000000"/>
      <w:sz w:val="26"/>
      <w:szCs w:val="26"/>
    </w:rPr>
  </w:style>
  <w:style w:type="paragraph" w:styleId="Textoembloco">
    <w:name w:val="Block Text"/>
    <w:basedOn w:val="Normal"/>
    <w:rsid w:val="00EF5626"/>
    <w:pPr>
      <w:ind w:left="851" w:right="991"/>
    </w:pPr>
    <w:rPr>
      <w:color w:val="auto"/>
    </w:rPr>
  </w:style>
  <w:style w:type="paragraph" w:styleId="Textodebalo">
    <w:name w:val="Balloon Text"/>
    <w:basedOn w:val="Normal"/>
    <w:link w:val="TextodebaloChar"/>
    <w:uiPriority w:val="99"/>
    <w:rsid w:val="00A447B7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uiPriority w:val="99"/>
    <w:rsid w:val="00A447B7"/>
    <w:rPr>
      <w:rFonts w:ascii="Segoe UI" w:hAnsi="Segoe UI" w:cs="Segoe UI"/>
      <w:color w:val="000000"/>
      <w:sz w:val="18"/>
      <w:szCs w:val="18"/>
    </w:rPr>
  </w:style>
  <w:style w:type="character" w:styleId="Forte">
    <w:name w:val="Strong"/>
    <w:qFormat/>
    <w:rsid w:val="00D43A56"/>
    <w:rPr>
      <w:b/>
      <w:bCs/>
    </w:rPr>
  </w:style>
  <w:style w:type="table" w:customStyle="1" w:styleId="NormalTable0">
    <w:name w:val="Normal Table0"/>
    <w:rsid w:val="0044106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rsid w:val="00441067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eastAsia="Arial Unicode MS" w:hAnsi="Helvetica" w:cs="Arial Unicode MS"/>
      <w:color w:val="000000"/>
      <w:sz w:val="24"/>
      <w:szCs w:val="24"/>
      <w:bdr w:val="nil"/>
    </w:rPr>
  </w:style>
  <w:style w:type="paragraph" w:customStyle="1" w:styleId="Corpo">
    <w:name w:val="Corpo"/>
    <w:rsid w:val="00441067"/>
    <w:pPr>
      <w:pBdr>
        <w:top w:val="nil"/>
        <w:left w:val="nil"/>
        <w:bottom w:val="nil"/>
        <w:right w:val="nil"/>
        <w:between w:val="nil"/>
        <w:bar w:val="nil"/>
      </w:pBdr>
    </w:pPr>
    <w:rPr>
      <w:rFonts w:eastAsia="Arial Unicode MS" w:cs="Arial Unicode MS"/>
      <w:color w:val="000000"/>
      <w:sz w:val="24"/>
      <w:szCs w:val="24"/>
      <w:u w:color="000000"/>
      <w:bdr w:val="nil"/>
    </w:rPr>
  </w:style>
  <w:style w:type="paragraph" w:customStyle="1" w:styleId="CorpoA">
    <w:name w:val="Corpo A"/>
    <w:rsid w:val="004410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/>
    </w:rPr>
  </w:style>
  <w:style w:type="character" w:customStyle="1" w:styleId="NenhumA">
    <w:name w:val="Nenhum A"/>
    <w:rsid w:val="00441067"/>
    <w:rPr>
      <w:lang w:val="pt-PT"/>
    </w:rPr>
  </w:style>
  <w:style w:type="character" w:customStyle="1" w:styleId="Hyperlink0">
    <w:name w:val="Hyperlink.0"/>
    <w:rsid w:val="00441067"/>
    <w:rPr>
      <w:rFonts w:ascii="Arial" w:eastAsia="Arial" w:hAnsi="Arial" w:cs="Arial"/>
      <w:sz w:val="24"/>
      <w:szCs w:val="24"/>
      <w:u w:val="single" w:color="000066"/>
      <w:lang w:val="pt-PT"/>
    </w:rPr>
  </w:style>
  <w:style w:type="numbering" w:customStyle="1" w:styleId="Letras">
    <w:name w:val="Letras"/>
    <w:rsid w:val="00441067"/>
    <w:pPr>
      <w:numPr>
        <w:numId w:val="19"/>
      </w:numPr>
    </w:pPr>
  </w:style>
  <w:style w:type="paragraph" w:customStyle="1" w:styleId="Default">
    <w:name w:val="Default"/>
    <w:rsid w:val="00441067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Arial Unicode MS" w:cs="Arial Unicode MS"/>
      <w:color w:val="000000"/>
      <w:sz w:val="24"/>
      <w:szCs w:val="24"/>
      <w:u w:color="000000"/>
      <w:bdr w:val="nil"/>
      <w:lang w:val="pt-PT"/>
    </w:rPr>
  </w:style>
  <w:style w:type="paragraph" w:customStyle="1" w:styleId="SemEspaamento1">
    <w:name w:val="Sem Espaçamento1"/>
    <w:uiPriority w:val="1"/>
    <w:qFormat/>
    <w:rsid w:val="00441067"/>
    <w:rPr>
      <w:rFonts w:ascii="Calibri" w:eastAsia="Calibri" w:hAnsi="Calibri"/>
      <w:sz w:val="22"/>
      <w:szCs w:val="22"/>
      <w:lang w:eastAsia="en-US"/>
    </w:rPr>
  </w:style>
  <w:style w:type="character" w:styleId="Refdenotaderodap">
    <w:name w:val="footnote reference"/>
    <w:unhideWhenUsed/>
    <w:qFormat/>
    <w:rsid w:val="00441067"/>
    <w:rPr>
      <w:vertAlign w:val="superscript"/>
    </w:rPr>
  </w:style>
  <w:style w:type="character" w:customStyle="1" w:styleId="label1">
    <w:name w:val="label1"/>
    <w:rsid w:val="004E5717"/>
    <w:rPr>
      <w:b/>
      <w:bCs/>
      <w:vanish w:val="0"/>
      <w:webHidden w:val="0"/>
      <w:color w:val="FFFFFF"/>
      <w:sz w:val="18"/>
      <w:szCs w:val="18"/>
      <w:vertAlign w:val="baseline"/>
      <w:specVanish w:val="0"/>
    </w:rPr>
  </w:style>
  <w:style w:type="character" w:customStyle="1" w:styleId="Ttulo1Char">
    <w:name w:val="Título 1 Char"/>
    <w:link w:val="Ttulo1"/>
    <w:rsid w:val="005A355B"/>
    <w:rPr>
      <w:rFonts w:ascii="Calibri Light" w:eastAsia="Times New Roman" w:hAnsi="Calibri Light" w:cs="Times New Roman"/>
      <w:b/>
      <w:bCs/>
      <w:color w:val="000000"/>
      <w:kern w:val="32"/>
      <w:sz w:val="32"/>
      <w:szCs w:val="32"/>
    </w:rPr>
  </w:style>
  <w:style w:type="character" w:customStyle="1" w:styleId="label">
    <w:name w:val="label"/>
    <w:rsid w:val="005A355B"/>
  </w:style>
  <w:style w:type="character" w:customStyle="1" w:styleId="MenoPendente1">
    <w:name w:val="Menção Pendente1"/>
    <w:uiPriority w:val="99"/>
    <w:semiHidden/>
    <w:unhideWhenUsed/>
    <w:rsid w:val="008A66E9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E240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1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49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62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2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794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4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6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72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45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0437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8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1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3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40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281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174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26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20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728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7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7A5152-C90B-41D4-BFA5-45939C525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26</Pages>
  <Words>6418</Words>
  <Characters>34659</Characters>
  <Application>Microsoft Office Word</Application>
  <DocSecurity>0</DocSecurity>
  <Lines>288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 de Desenvolvimento</dc:creator>
  <cp:keywords/>
  <dc:description/>
  <cp:lastModifiedBy>Usuário do Windows</cp:lastModifiedBy>
  <cp:revision>30</cp:revision>
  <cp:lastPrinted>2025-04-15T15:20:00Z</cp:lastPrinted>
  <dcterms:created xsi:type="dcterms:W3CDTF">2024-06-12T13:01:00Z</dcterms:created>
  <dcterms:modified xsi:type="dcterms:W3CDTF">2025-04-15T20:26:00Z</dcterms:modified>
</cp:coreProperties>
</file>