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1E099" w14:textId="77777777" w:rsidR="00BE0CAF" w:rsidRPr="009F5D10" w:rsidRDefault="00BE0CAF" w:rsidP="00BE0CAF">
      <w:pPr>
        <w:spacing w:line="360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PARECER CDJIMPD 001</w:t>
      </w:r>
      <w:r w:rsidRPr="009F5D10">
        <w:rPr>
          <w:rFonts w:ascii="Tahoma" w:hAnsi="Tahoma" w:cs="Tahoma"/>
          <w:b/>
        </w:rPr>
        <w:t>/2025</w:t>
      </w:r>
    </w:p>
    <w:p w14:paraId="7F62265E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>PROJETO DE LEI Nº 026/2025</w:t>
      </w:r>
    </w:p>
    <w:p w14:paraId="7366EDB7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>COMISSÃO PERMANENTE DA PESSOA COM DEFICIÊNCIA</w:t>
      </w:r>
    </w:p>
    <w:p w14:paraId="4EBA7233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RELATORA: Vereadora Fernanda </w:t>
      </w:r>
      <w:proofErr w:type="spellStart"/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>Louback</w:t>
      </w:r>
      <w:proofErr w:type="spellEnd"/>
    </w:p>
    <w:p w14:paraId="61BBFDF2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>EMENTA: Projeto de Lei que dispõe sobre a obrigatoriedade da distribuição de senhas em Braille nas agências bancárias para usuários com deficiência visual no Município de Niterói.</w:t>
      </w:r>
    </w:p>
    <w:p w14:paraId="040A0A94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>I</w:t>
      </w: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- RELATÓRIO</w:t>
      </w:r>
    </w:p>
    <w:p w14:paraId="10448531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>Histórico da Proposição:</w:t>
      </w:r>
    </w:p>
    <w:p w14:paraId="2FB66FD6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O presente Projeto de Lei nº 026/2025, de autoria do Vereador Rafael Faustino Junior, FAEL, foi apresentado a esta Casa Legislativa em 17 de fevereiro de 2025. A proposição visa garantir a acessibilidade das pessoas com deficiência visual aos serviços bancários no Município de Niterói, determinando a distribuição de senhas em Braille com fonte ampliada e contraste nas agências bancárias.</w:t>
      </w:r>
    </w:p>
    <w:p w14:paraId="04ED1FB7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Em Sessão Plenária, o projeto foi encaminhado para esta Comissão Permanente da Pessoa com Deficiência e, previamente, à Comissão de Constituição, Justiça e Redação Final, que, conforme parecer constante nos autos, opinou favoravelmente à constitucionalidade, juridicidade e legalidade da matéria, com a apresentação de emenda substitutiva ao artigo 3º.</w:t>
      </w:r>
    </w:p>
    <w:p w14:paraId="17E66116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Em sua justificativa, o autor argumenta que a proposição se insere na competência legislativa municipal para editar normas relativas à proteção das pessoas com deficiência, ao exercício do poder de polícia e à regulamentação das atividades econômicas desenvolvidas no âmbito do Município. Cita, ainda, decisões do Supremo Tribunal Federal que reconhecem a competência dos Municípios para legislar sobre questões de interesse local relacionadas ao conforto dos usuários de serviços bancários.</w:t>
      </w:r>
    </w:p>
    <w:p w14:paraId="7C2745E8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>Análise da Proposição:</w:t>
      </w:r>
    </w:p>
    <w:p w14:paraId="09B1C8F9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A proposição em análise merece ser analisada sob a ótica da legislação vigente, em especial:</w:t>
      </w:r>
    </w:p>
    <w:p w14:paraId="0477BD52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•</w:t>
      </w:r>
      <w:r w:rsidRPr="00031912">
        <w:rPr>
          <w:rStyle w:val="normaltextrun"/>
          <w:rFonts w:ascii="Tahoma" w:hAnsi="Tahoma" w:cs="Tahoma"/>
          <w:sz w:val="22"/>
          <w:szCs w:val="22"/>
        </w:rPr>
        <w:tab/>
      </w:r>
      <w:r w:rsidRPr="00031912">
        <w:rPr>
          <w:rStyle w:val="normaltextrun"/>
          <w:rFonts w:ascii="Tahoma" w:hAnsi="Tahoma" w:cs="Tahoma"/>
          <w:sz w:val="22"/>
          <w:szCs w:val="22"/>
          <w:u w:val="single"/>
        </w:rPr>
        <w:t>Esfera Federal:</w:t>
      </w:r>
    </w:p>
    <w:p w14:paraId="00A6A37F" w14:textId="77777777" w:rsidR="00BE0CAF" w:rsidRDefault="00BE0CAF" w:rsidP="00BE0CAF">
      <w:pPr>
        <w:pStyle w:val="paragraph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A Lei Brasileira de Inclusão da Pessoa com Deficiência (Lei nº 13.146/2015), que assegura o direito à acessibilidade em todos os serviços abertos ao público.</w:t>
      </w:r>
    </w:p>
    <w:p w14:paraId="13DAF52A" w14:textId="77777777" w:rsidR="00BE0CAF" w:rsidRDefault="00BE0CAF" w:rsidP="00BE0CAF">
      <w:pPr>
        <w:pStyle w:val="paragraph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O Decreto Federal nº 5.296/2004, que regulamenta as Leis nº 10.048/2000 e nº 10.098/2000, estabelecendo normas gerais e critérios básicos para a promoção da acessibilidade.</w:t>
      </w:r>
    </w:p>
    <w:p w14:paraId="51FBFE4F" w14:textId="77777777" w:rsidR="00BE0CAF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0C4183C0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lastRenderedPageBreak/>
        <w:t>•</w:t>
      </w:r>
      <w:r w:rsidRPr="00031912">
        <w:rPr>
          <w:rStyle w:val="normaltextrun"/>
          <w:rFonts w:ascii="Tahoma" w:hAnsi="Tahoma" w:cs="Tahoma"/>
          <w:sz w:val="22"/>
          <w:szCs w:val="22"/>
        </w:rPr>
        <w:tab/>
      </w:r>
      <w:r w:rsidRPr="00031912">
        <w:rPr>
          <w:rStyle w:val="normaltextrun"/>
          <w:rFonts w:ascii="Tahoma" w:hAnsi="Tahoma" w:cs="Tahoma"/>
          <w:sz w:val="22"/>
          <w:szCs w:val="22"/>
          <w:u w:val="single"/>
        </w:rPr>
        <w:t>Esfera Estadual:</w:t>
      </w:r>
    </w:p>
    <w:p w14:paraId="48681492" w14:textId="77777777" w:rsidR="00BE0CAF" w:rsidRPr="00031912" w:rsidRDefault="00BE0CAF" w:rsidP="00BE0CAF">
      <w:pPr>
        <w:pStyle w:val="paragraph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 xml:space="preserve">A Lei Estadual nº 10622/2025 do Rio de Janeiro, que altera a Lei Nº 7568/2017, para determinar a impressão de senhas em </w:t>
      </w:r>
      <w:proofErr w:type="spellStart"/>
      <w:r w:rsidRPr="00031912">
        <w:rPr>
          <w:rStyle w:val="normaltextrun"/>
          <w:rFonts w:ascii="Tahoma" w:hAnsi="Tahoma" w:cs="Tahoma"/>
          <w:sz w:val="22"/>
          <w:szCs w:val="22"/>
        </w:rPr>
        <w:t>braille</w:t>
      </w:r>
      <w:proofErr w:type="spellEnd"/>
      <w:r w:rsidRPr="00031912">
        <w:rPr>
          <w:rStyle w:val="normaltextrun"/>
          <w:rFonts w:ascii="Tahoma" w:hAnsi="Tahoma" w:cs="Tahoma"/>
          <w:sz w:val="22"/>
          <w:szCs w:val="22"/>
        </w:rPr>
        <w:t>, caracteres ampliados e chamamento por voz, para fins de atendimento.</w:t>
      </w:r>
    </w:p>
    <w:p w14:paraId="5BEA0B3D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•</w:t>
      </w:r>
      <w:r w:rsidRPr="00031912">
        <w:rPr>
          <w:rStyle w:val="normaltextrun"/>
          <w:rFonts w:ascii="Tahoma" w:hAnsi="Tahoma" w:cs="Tahoma"/>
          <w:sz w:val="22"/>
          <w:szCs w:val="22"/>
        </w:rPr>
        <w:tab/>
      </w:r>
      <w:r w:rsidRPr="00031912">
        <w:rPr>
          <w:rStyle w:val="normaltextrun"/>
          <w:rFonts w:ascii="Tahoma" w:hAnsi="Tahoma" w:cs="Tahoma"/>
          <w:sz w:val="22"/>
          <w:szCs w:val="22"/>
          <w:u w:val="single"/>
        </w:rPr>
        <w:t>Esfera Municipal:</w:t>
      </w:r>
    </w:p>
    <w:p w14:paraId="3CBE1A12" w14:textId="77777777" w:rsidR="00BE0CAF" w:rsidRPr="00031912" w:rsidRDefault="00BE0CAF" w:rsidP="00BE0CAF">
      <w:pPr>
        <w:pStyle w:val="paragraph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A Lei Municipal de Acessibilidade (Lei nº 3130/2015), que estabelece normas gerais e critérios básicos para a promoção da acessibilidade das pessoas com deficiência e/ou com mobilidade reduzida no Município de Niterói.</w:t>
      </w:r>
    </w:p>
    <w:p w14:paraId="63FB087E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A Lei nº 13.146/2015 (Estatuto da Pessoa com Deficiência), em seu artigo 53, define a acessibilidade como:</w:t>
      </w:r>
    </w:p>
    <w:p w14:paraId="3081AF74" w14:textId="77777777" w:rsidR="00BE0CAF" w:rsidRPr="000B2127" w:rsidRDefault="00BE0CAF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>"Art. 53. A acessibilidade é direito que garante à pessoa com deficiência ou com mobilidade reduzida viver de forma independente e exercer seus direitos de cidadania e de participação social."</w:t>
      </w:r>
    </w:p>
    <w:p w14:paraId="7A34BB45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O artigo 63 da mesma lei, embora trate especificamente da acessibilidade nos sítios da internet, estabelece um princípio geral de que a informação deve ser acessível às pessoas com deficiência. Esse princípio expande o conceito de acessibilidade para além do espaço físico, alcançando também o ambiente informacional e comunicacional. Ao mencionar o artigo 63, reforçamos a ideia de que a acessibilidade não se limita à eliminação de barreiras arquitetônicas, mas também abrange a garantia de que as pessoas com deficiência tenham acesso à informação e à comunicação em igualdade de condições com as demais pessoas.</w:t>
      </w:r>
    </w:p>
    <w:p w14:paraId="540146DE" w14:textId="77777777" w:rsidR="00BE0CAF" w:rsidRPr="000B2127" w:rsidRDefault="00BE0CAF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>"Art. 63. É obrigatória a acessibilidade nos sítios da internet mantidos por empresas com sede ou representação comercial no País ou por órgãos de governo, para uso da pessoa com deficiência, garantindo-lhe acesso às informações disponíveis, conforme as melhores práticas e diretrizes de acessibilidade adotadas internacionalmente."</w:t>
      </w:r>
    </w:p>
    <w:p w14:paraId="500895C7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O Decreto Federal nº 5.296/2004, em seu Art. 8º, define acessibilidade como:</w:t>
      </w:r>
    </w:p>
    <w:p w14:paraId="0D56E68B" w14:textId="77777777" w:rsidR="007B1A97" w:rsidRPr="000B2127" w:rsidRDefault="00BE0CAF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 xml:space="preserve">"Art. 8o Para os fins de acessibilidade, considera-se: </w:t>
      </w:r>
    </w:p>
    <w:p w14:paraId="7466D90B" w14:textId="59D71AC4" w:rsidR="00BE0CAF" w:rsidRPr="000B2127" w:rsidRDefault="00BE0CAF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 xml:space="preserve">I - </w:t>
      </w:r>
      <w:proofErr w:type="gramStart"/>
      <w:r w:rsidRPr="000B2127">
        <w:rPr>
          <w:rFonts w:ascii="Tahoma" w:eastAsia="Garamond" w:hAnsi="Tahoma" w:cs="Tahoma"/>
          <w:i/>
          <w:iCs/>
          <w:sz w:val="20"/>
          <w:szCs w:val="20"/>
        </w:rPr>
        <w:t>acessibilidade</w:t>
      </w:r>
      <w:proofErr w:type="gramEnd"/>
      <w:r w:rsidRPr="000B2127">
        <w:rPr>
          <w:rFonts w:ascii="Tahoma" w:eastAsia="Garamond" w:hAnsi="Tahoma" w:cs="Tahoma"/>
          <w:i/>
          <w:iCs/>
          <w:sz w:val="20"/>
          <w:szCs w:val="20"/>
        </w:rPr>
        <w:t>: condição para utilização, com segurança e autonomia, total ou assistida, dos espaços, mobiliários e equipamentos urbanos, das edificações, dos serviços de transporte e dos dispositivos, sistemas e meios de comunicação e informação, por pessoa portadora de deficiência ou com mobilidade reduzida;</w:t>
      </w:r>
    </w:p>
    <w:p w14:paraId="7E4F1B60" w14:textId="39C80CE9" w:rsidR="007B1A97" w:rsidRPr="000B2127" w:rsidRDefault="007B1A97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>[...]</w:t>
      </w:r>
    </w:p>
    <w:p w14:paraId="159605B0" w14:textId="1B37BB70" w:rsidR="007B1A97" w:rsidRPr="000B2127" w:rsidRDefault="007B1A97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>d) barreiras nas comunicações e informações: qualquer entrave ou obstáculo que dificulte ou impossibilite a expressão ou o recebimento de mensagens por intermédio dos dispositivos, meios ou sistemas de comunicação, sejam ou não de massa, bem como aqueles que dificultem ou impossibilitem o acesso à informação;”</w:t>
      </w:r>
    </w:p>
    <w:p w14:paraId="54177B42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O Art. 6º do mesmo decreto, ao tratar do atendimento prioritário, estabelece:</w:t>
      </w:r>
    </w:p>
    <w:p w14:paraId="5ECB32E0" w14:textId="77777777" w:rsidR="007B1A97" w:rsidRPr="000B2127" w:rsidRDefault="00BE0CAF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 xml:space="preserve">"Art. 6o O atendimento prioritário compreende tratamento diferenciado e atendimento imediato às pessoas de que trata o art. 5o. § 1o O tratamento diferenciado inclui, dentre outros: </w:t>
      </w:r>
    </w:p>
    <w:p w14:paraId="20FA119E" w14:textId="77777777" w:rsidR="007B1A97" w:rsidRPr="000B2127" w:rsidRDefault="00BE0CAF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 xml:space="preserve">[...] </w:t>
      </w:r>
    </w:p>
    <w:p w14:paraId="23E07D60" w14:textId="346BA733" w:rsidR="00BE0CAF" w:rsidRPr="000B2127" w:rsidRDefault="00BE0CAF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 xml:space="preserve">VI - </w:t>
      </w:r>
      <w:proofErr w:type="gramStart"/>
      <w:r w:rsidRPr="000B2127">
        <w:rPr>
          <w:rFonts w:ascii="Tahoma" w:eastAsia="Garamond" w:hAnsi="Tahoma" w:cs="Tahoma"/>
          <w:i/>
          <w:iCs/>
          <w:sz w:val="20"/>
          <w:szCs w:val="20"/>
        </w:rPr>
        <w:t>sinalização</w:t>
      </w:r>
      <w:proofErr w:type="gramEnd"/>
      <w:r w:rsidRPr="000B2127">
        <w:rPr>
          <w:rFonts w:ascii="Tahoma" w:eastAsia="Garamond" w:hAnsi="Tahoma" w:cs="Tahoma"/>
          <w:i/>
          <w:iCs/>
          <w:sz w:val="20"/>
          <w:szCs w:val="20"/>
        </w:rPr>
        <w:t xml:space="preserve"> ambiental para orientação das pessoas referidas no art. 5o;"</w:t>
      </w:r>
    </w:p>
    <w:p w14:paraId="7636A303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O Art. 47 do Decreto nº 5.296/2004, embora trate da acessibilidade nos portais e sítios eletrônicos, reforça a importância da acessibilidade à informação:</w:t>
      </w:r>
    </w:p>
    <w:p w14:paraId="2918B3CF" w14:textId="77777777" w:rsidR="00BE0CAF" w:rsidRPr="000B2127" w:rsidRDefault="00BE0CAF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>"Art. 47. No prazo de até doze meses a contar da data de publicação deste Decreto, será obrigatória a acessibilidade nos portais e sítios eletrônicos da administração pública na rede mundial de computadores (internet), para o uso das pessoas portadoras de deficiência visual, garantindo-lhes o pleno acesso às informações disponíveis."</w:t>
      </w:r>
    </w:p>
    <w:p w14:paraId="33B6E0A5" w14:textId="2FC3237E" w:rsidR="00BE0CAF" w:rsidRPr="007F5D4B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7F5D4B">
        <w:rPr>
          <w:rStyle w:val="normaltextrun"/>
          <w:rFonts w:ascii="Tahoma" w:hAnsi="Tahoma" w:cs="Tahoma"/>
          <w:sz w:val="22"/>
          <w:szCs w:val="22"/>
        </w:rPr>
        <w:t>O Art. 1º, § 3º da Lei</w:t>
      </w:r>
      <w:r w:rsidR="007B1A97">
        <w:rPr>
          <w:rStyle w:val="normaltextrun"/>
          <w:rFonts w:ascii="Tahoma" w:hAnsi="Tahoma" w:cs="Tahoma"/>
          <w:sz w:val="22"/>
          <w:szCs w:val="22"/>
        </w:rPr>
        <w:t xml:space="preserve"> Estadual</w:t>
      </w:r>
      <w:r w:rsidRPr="007F5D4B">
        <w:rPr>
          <w:rStyle w:val="normaltextrun"/>
          <w:rFonts w:ascii="Tahoma" w:hAnsi="Tahoma" w:cs="Tahoma"/>
          <w:sz w:val="22"/>
          <w:szCs w:val="22"/>
        </w:rPr>
        <w:t xml:space="preserve"> nº 7568/2017, com a redação dada pela Lei nº 10622/2025, estabelece:</w:t>
      </w:r>
    </w:p>
    <w:p w14:paraId="09D4E89F" w14:textId="77777777" w:rsidR="00BE0CAF" w:rsidRPr="007F5D4B" w:rsidRDefault="00BE0CAF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</w:rPr>
      </w:pPr>
      <w:r w:rsidRPr="007F5D4B">
        <w:rPr>
          <w:rFonts w:ascii="Tahoma" w:eastAsia="Garamond" w:hAnsi="Tahoma" w:cs="Tahoma"/>
          <w:i/>
          <w:iCs/>
        </w:rPr>
        <w:t>"</w:t>
      </w:r>
      <w:r w:rsidRPr="000B2127">
        <w:rPr>
          <w:rFonts w:ascii="Tahoma" w:eastAsia="Garamond" w:hAnsi="Tahoma" w:cs="Tahoma"/>
          <w:i/>
          <w:iCs/>
          <w:sz w:val="20"/>
          <w:szCs w:val="20"/>
        </w:rPr>
        <w:t>Art. 1º [...] § 3º As disposições da presente lei abrangem qualquer empresa ou instituição em que o chamamento de seus usuários se dê por senhas, sinalizadas através de painéis ou monitores, inclusive instituições financeiras e agências bancárias."</w:t>
      </w:r>
    </w:p>
    <w:p w14:paraId="47ECC499" w14:textId="77777777" w:rsidR="00BE0CAF" w:rsidRPr="007F5D4B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7F5D4B">
        <w:rPr>
          <w:rStyle w:val="normaltextrun"/>
          <w:rFonts w:ascii="Tahoma" w:hAnsi="Tahoma" w:cs="Tahoma"/>
          <w:sz w:val="22"/>
          <w:szCs w:val="22"/>
        </w:rPr>
        <w:t>A Lei Municipal nº 3130/2015, por sua vez, estabelece em seu artigo 2º, inciso I, que acessibilidade é:</w:t>
      </w:r>
    </w:p>
    <w:p w14:paraId="613EFB32" w14:textId="77777777" w:rsidR="00BE0CAF" w:rsidRPr="000B2127" w:rsidRDefault="00BE0CAF" w:rsidP="00BE0CAF">
      <w:pPr>
        <w:spacing w:line="360" w:lineRule="auto"/>
        <w:ind w:left="2160"/>
        <w:jc w:val="both"/>
        <w:rPr>
          <w:rFonts w:ascii="Tahoma" w:eastAsia="Garamond" w:hAnsi="Tahoma" w:cs="Tahoma"/>
          <w:i/>
          <w:iCs/>
          <w:sz w:val="20"/>
          <w:szCs w:val="20"/>
        </w:rPr>
      </w:pPr>
      <w:r w:rsidRPr="000B2127">
        <w:rPr>
          <w:rFonts w:ascii="Tahoma" w:eastAsia="Garamond" w:hAnsi="Tahoma" w:cs="Tahoma"/>
          <w:i/>
          <w:iCs/>
          <w:sz w:val="20"/>
          <w:szCs w:val="20"/>
        </w:rPr>
        <w:t>"Art. 2º Para os fins desta Lei são estabelecidas as seguintes definições: I - acessibilidade: possibilidade e condição de alcance para utilização, com segurança e autonomia, dos espaços, mobiliários e equipamentos urbanos, das edificações, dos transportes e dos sistemas e meios de comunicação, por pessoa com deficiência e/ou com mobilidade reduzida;"</w:t>
      </w:r>
    </w:p>
    <w:p w14:paraId="4837904B" w14:textId="77777777" w:rsidR="00BE0CAF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A proposição em análise se alinha com os princípios e diretrizes estabelecidos nas referidas leis e decretos, ao buscar garantir o acesso das pessoas com deficiência visual aos serviços bancários, por meio da disponibilização de senhas em Braille. A medida proposta contribui para a promoção da autonomia e da inclusão social das pessoas com deficiência, permitindo que elas exerçam seus direitos de cidadania em igualdade de condições com as demais pessoas.</w:t>
      </w:r>
    </w:p>
    <w:p w14:paraId="30F3941A" w14:textId="61F30553" w:rsidR="00BE0CAF" w:rsidRPr="007F5D4B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7F5D4B">
        <w:rPr>
          <w:rStyle w:val="normaltextrun"/>
          <w:rFonts w:ascii="Tahoma" w:hAnsi="Tahoma" w:cs="Tahoma"/>
          <w:b/>
          <w:bCs/>
          <w:sz w:val="22"/>
          <w:szCs w:val="22"/>
        </w:rPr>
        <w:t>Mérito:</w:t>
      </w:r>
    </w:p>
    <w:p w14:paraId="0B857FC4" w14:textId="742E0E5B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 xml:space="preserve">A proposição apresenta inegável relevância social, ao buscar garantir a </w:t>
      </w:r>
      <w:r w:rsidR="00DF796E">
        <w:rPr>
          <w:rStyle w:val="normaltextrun"/>
          <w:rFonts w:ascii="Tahoma" w:hAnsi="Tahoma" w:cs="Tahoma"/>
          <w:sz w:val="22"/>
          <w:szCs w:val="22"/>
        </w:rPr>
        <w:t xml:space="preserve">ampla </w:t>
      </w:r>
      <w:r w:rsidRPr="00031912">
        <w:rPr>
          <w:rStyle w:val="normaltextrun"/>
          <w:rFonts w:ascii="Tahoma" w:hAnsi="Tahoma" w:cs="Tahoma"/>
          <w:sz w:val="22"/>
          <w:szCs w:val="22"/>
        </w:rPr>
        <w:t>acessibilidade das pessoas com deficiência visual aos serviços bancários. A medida proposta contribui para a promoção da autonomia e da inclusão social das pessoas com deficiência, permitindo que elas exerçam seus direitos de cidadania em igualdade de condições com as demais pessoas.</w:t>
      </w:r>
    </w:p>
    <w:p w14:paraId="1B833F46" w14:textId="7777777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A obrigatoriedade da distribuição de senhas em Braille nas agências bancárias representa um avanço significativo na garantia da acessibilidade e na promoção da inclusão social das pessoas com deficiência visual no Município de Niterói. A medida proposta demonstra o compromisso do Poder Legislativo Municipal com a defesa dos direitos das pessoas com deficiência e com a construção de uma sociedade mais justa e igualitária.</w:t>
      </w:r>
    </w:p>
    <w:p w14:paraId="151F1555" w14:textId="77777777" w:rsidR="00BE0CAF" w:rsidRPr="00BE0CAF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BE0CAF">
        <w:rPr>
          <w:rStyle w:val="normaltextrun"/>
          <w:rFonts w:ascii="Tahoma" w:hAnsi="Tahoma" w:cs="Tahoma"/>
          <w:b/>
          <w:bCs/>
          <w:sz w:val="22"/>
          <w:szCs w:val="22"/>
        </w:rPr>
        <w:t>II - VOTO DA RELATORA</w:t>
      </w:r>
    </w:p>
    <w:p w14:paraId="6E3F51F3" w14:textId="272C9571" w:rsidR="00BE0CAF" w:rsidRPr="002D3F58" w:rsidRDefault="00793B91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>
        <w:rPr>
          <w:rStyle w:val="normaltextrun"/>
          <w:rFonts w:ascii="Tahoma" w:hAnsi="Tahoma" w:cs="Tahoma"/>
          <w:sz w:val="22"/>
          <w:szCs w:val="22"/>
        </w:rPr>
        <w:t>O tema em comento é de</w:t>
      </w:r>
      <w:r w:rsidR="00BE0CAF" w:rsidRPr="00031912">
        <w:rPr>
          <w:rStyle w:val="normaltextrun"/>
          <w:rFonts w:ascii="Tahoma" w:hAnsi="Tahoma" w:cs="Tahoma"/>
          <w:sz w:val="22"/>
          <w:szCs w:val="22"/>
        </w:rPr>
        <w:t xml:space="preserve"> relevância social da proposição, </w:t>
      </w:r>
      <w:r>
        <w:rPr>
          <w:rStyle w:val="normaltextrun"/>
          <w:rFonts w:ascii="Tahoma" w:hAnsi="Tahoma" w:cs="Tahoma"/>
          <w:sz w:val="22"/>
          <w:szCs w:val="22"/>
        </w:rPr>
        <w:t>havendo</w:t>
      </w:r>
      <w:r w:rsidR="00BE0CAF" w:rsidRPr="00031912">
        <w:rPr>
          <w:rStyle w:val="normaltextrun"/>
          <w:rFonts w:ascii="Tahoma" w:hAnsi="Tahoma" w:cs="Tahoma"/>
          <w:sz w:val="22"/>
          <w:szCs w:val="22"/>
        </w:rPr>
        <w:t xml:space="preserve"> compatibilidade com a legislação vigente, </w:t>
      </w:r>
      <w:r>
        <w:rPr>
          <w:rStyle w:val="normaltextrun"/>
          <w:rFonts w:ascii="Tahoma" w:hAnsi="Tahoma" w:cs="Tahoma"/>
          <w:sz w:val="22"/>
          <w:szCs w:val="22"/>
        </w:rPr>
        <w:t>a beneficiar</w:t>
      </w:r>
      <w:r w:rsidR="00BE0CAF" w:rsidRPr="00031912">
        <w:rPr>
          <w:rStyle w:val="normaltextrun"/>
          <w:rFonts w:ascii="Tahoma" w:hAnsi="Tahoma" w:cs="Tahoma"/>
          <w:sz w:val="22"/>
          <w:szCs w:val="22"/>
        </w:rPr>
        <w:t xml:space="preserve"> a população com deficiência visual do Município de Niterói</w:t>
      </w:r>
      <w:r>
        <w:rPr>
          <w:rStyle w:val="normaltextrun"/>
          <w:rFonts w:ascii="Tahoma" w:hAnsi="Tahoma" w:cs="Tahoma"/>
          <w:sz w:val="22"/>
          <w:szCs w:val="22"/>
        </w:rPr>
        <w:t>. Em consonância ao</w:t>
      </w:r>
      <w:r w:rsidR="00BE0CAF" w:rsidRPr="00031912">
        <w:rPr>
          <w:rStyle w:val="normaltextrun"/>
          <w:rFonts w:ascii="Tahoma" w:hAnsi="Tahoma" w:cs="Tahoma"/>
          <w:sz w:val="22"/>
          <w:szCs w:val="22"/>
        </w:rPr>
        <w:t xml:space="preserve"> parecer favorável da Comissão de Constituição, Justiça e Redação Final, manifestamos nosso </w:t>
      </w:r>
      <w:r w:rsidR="002D3F58">
        <w:rPr>
          <w:rStyle w:val="normaltextrun"/>
          <w:rFonts w:ascii="Tahoma" w:hAnsi="Tahoma" w:cs="Tahoma"/>
          <w:b/>
          <w:bCs/>
          <w:sz w:val="22"/>
          <w:szCs w:val="22"/>
        </w:rPr>
        <w:t>voto favorável</w:t>
      </w:r>
      <w:r w:rsidR="00BE0CAF" w:rsidRPr="00031912">
        <w:rPr>
          <w:rStyle w:val="normaltextrun"/>
          <w:rFonts w:ascii="Tahoma" w:hAnsi="Tahoma" w:cs="Tahoma"/>
          <w:sz w:val="22"/>
          <w:szCs w:val="22"/>
        </w:rPr>
        <w:t xml:space="preserve"> à aprovação do Projeto de Lei nº 026/2025</w:t>
      </w:r>
      <w:r w:rsidR="002D3F58">
        <w:rPr>
          <w:rStyle w:val="normaltextrun"/>
          <w:rFonts w:ascii="Tahoma" w:hAnsi="Tahoma" w:cs="Tahoma"/>
          <w:sz w:val="22"/>
          <w:szCs w:val="22"/>
        </w:rPr>
        <w:t xml:space="preserve">, com a Emenda da CCJ e Subemenda </w:t>
      </w:r>
      <w:r w:rsidR="002D3F58" w:rsidRPr="002D3F58">
        <w:rPr>
          <w:rStyle w:val="normaltextrun"/>
          <w:rFonts w:ascii="Tahoma" w:hAnsi="Tahoma" w:cs="Tahoma"/>
          <w:sz w:val="22"/>
          <w:szCs w:val="22"/>
        </w:rPr>
        <w:t xml:space="preserve">da </w:t>
      </w:r>
      <w:r w:rsidR="002D3F58" w:rsidRPr="002D3F58">
        <w:rPr>
          <w:rFonts w:ascii="Tahoma" w:hAnsi="Tahoma" w:cs="Tahoma"/>
          <w:bCs/>
          <w:sz w:val="22"/>
          <w:szCs w:val="22"/>
        </w:rPr>
        <w:t>CDJIMPD</w:t>
      </w:r>
      <w:r w:rsidR="00BE0CAF" w:rsidRPr="002D3F58">
        <w:rPr>
          <w:rStyle w:val="normaltextrun"/>
          <w:rFonts w:ascii="Tahoma" w:hAnsi="Tahoma" w:cs="Tahoma"/>
          <w:bCs/>
          <w:sz w:val="22"/>
          <w:szCs w:val="22"/>
        </w:rPr>
        <w:t>.</w:t>
      </w:r>
    </w:p>
    <w:p w14:paraId="0E37D2FD" w14:textId="5CDF40D1" w:rsidR="00BE0CAF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 xml:space="preserve">A proposição se encontra </w:t>
      </w:r>
      <w:r w:rsidR="00793B91">
        <w:rPr>
          <w:rStyle w:val="normaltextrun"/>
          <w:rFonts w:ascii="Tahoma" w:hAnsi="Tahoma" w:cs="Tahoma"/>
          <w:sz w:val="22"/>
          <w:szCs w:val="22"/>
        </w:rPr>
        <w:t>conforme</w:t>
      </w:r>
      <w:r w:rsidRPr="00031912">
        <w:rPr>
          <w:rStyle w:val="normaltextrun"/>
          <w:rFonts w:ascii="Tahoma" w:hAnsi="Tahoma" w:cs="Tahoma"/>
          <w:sz w:val="22"/>
          <w:szCs w:val="22"/>
        </w:rPr>
        <w:t xml:space="preserve"> </w:t>
      </w:r>
      <w:r w:rsidR="00793B91">
        <w:rPr>
          <w:rStyle w:val="normaltextrun"/>
          <w:rFonts w:ascii="Tahoma" w:hAnsi="Tahoma" w:cs="Tahoma"/>
          <w:sz w:val="22"/>
          <w:szCs w:val="22"/>
        </w:rPr>
        <w:t>a</w:t>
      </w:r>
      <w:r w:rsidRPr="00031912">
        <w:rPr>
          <w:rStyle w:val="normaltextrun"/>
          <w:rFonts w:ascii="Tahoma" w:hAnsi="Tahoma" w:cs="Tahoma"/>
          <w:sz w:val="22"/>
          <w:szCs w:val="22"/>
        </w:rPr>
        <w:t>os princípios da dignidade da pessoa humana, da igualdade e da não discriminação, que são fundamentos da República Federativa do Brasil e da ordem jurídica internacional. A medida proposta contribui para a efetivação dos direitos das pessoas com deficiência, garantindo-lhes o acesso aos serviços bancários em igualdade de condições com as demais pessoas.</w:t>
      </w:r>
    </w:p>
    <w:p w14:paraId="00FA65DC" w14:textId="66F14FD6" w:rsidR="00937FC5" w:rsidRPr="00937FC5" w:rsidRDefault="00B42DEF" w:rsidP="00937FC5">
      <w:pPr>
        <w:pStyle w:val="paragraph"/>
        <w:shd w:val="clear" w:color="auto" w:fill="FFFFFF"/>
        <w:spacing w:after="0"/>
        <w:jc w:val="both"/>
        <w:textAlignment w:val="baseline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É de grande valia a Emenda Substitutiva ao artigo 3º do Projeto de Lei nº 26</w:t>
      </w:r>
      <w:r w:rsidR="00EA29ED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2025</w:t>
      </w:r>
      <w:r w:rsidR="00937FC5" w:rsidRPr="00937FC5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promovida pela</w:t>
      </w:r>
      <w:r w:rsidR="00937FC5" w:rsidRPr="00937FC5">
        <w:rPr>
          <w:rFonts w:ascii="Tahoma" w:hAnsi="Tahoma" w:cs="Tahoma"/>
          <w:sz w:val="22"/>
          <w:szCs w:val="22"/>
        </w:rPr>
        <w:t xml:space="preserve"> Comissão de Constituição e Justiça </w:t>
      </w:r>
      <w:r w:rsidR="00937FC5">
        <w:rPr>
          <w:rFonts w:ascii="Tahoma" w:hAnsi="Tahoma" w:cs="Tahoma"/>
          <w:sz w:val="22"/>
          <w:szCs w:val="22"/>
        </w:rPr>
        <w:t xml:space="preserve">e Redação Final </w:t>
      </w:r>
      <w:r w:rsidR="00937FC5" w:rsidRPr="00937FC5">
        <w:rPr>
          <w:rFonts w:ascii="Tahoma" w:hAnsi="Tahoma" w:cs="Tahoma"/>
          <w:sz w:val="22"/>
          <w:szCs w:val="22"/>
        </w:rPr>
        <w:t>(CCJ</w:t>
      </w:r>
      <w:r w:rsidR="00937FC5">
        <w:rPr>
          <w:rFonts w:ascii="Tahoma" w:hAnsi="Tahoma" w:cs="Tahoma"/>
          <w:sz w:val="22"/>
          <w:szCs w:val="22"/>
        </w:rPr>
        <w:t>RF</w:t>
      </w:r>
      <w:r w:rsidR="00937FC5" w:rsidRPr="00937FC5">
        <w:rPr>
          <w:rFonts w:ascii="Tahoma" w:hAnsi="Tahoma" w:cs="Tahoma"/>
          <w:sz w:val="22"/>
          <w:szCs w:val="22"/>
        </w:rPr>
        <w:t>),</w:t>
      </w:r>
      <w:r>
        <w:rPr>
          <w:rFonts w:ascii="Tahoma" w:hAnsi="Tahoma" w:cs="Tahoma"/>
          <w:sz w:val="22"/>
          <w:szCs w:val="22"/>
        </w:rPr>
        <w:t xml:space="preserve"> </w:t>
      </w:r>
      <w:r w:rsidR="00EA29ED">
        <w:rPr>
          <w:rFonts w:ascii="Tahoma" w:hAnsi="Tahoma" w:cs="Tahoma"/>
          <w:sz w:val="22"/>
          <w:szCs w:val="22"/>
        </w:rPr>
        <w:t>com o seguinte teor</w:t>
      </w:r>
      <w:r w:rsidR="00937FC5" w:rsidRPr="00937FC5">
        <w:rPr>
          <w:rFonts w:ascii="Tahoma" w:hAnsi="Tahoma" w:cs="Tahoma"/>
          <w:sz w:val="22"/>
          <w:szCs w:val="22"/>
        </w:rPr>
        <w:t>:</w:t>
      </w:r>
    </w:p>
    <w:p w14:paraId="212255F5" w14:textId="77777777" w:rsidR="00937FC5" w:rsidRPr="00EA29ED" w:rsidRDefault="00937FC5" w:rsidP="000B2127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A29ED">
        <w:rPr>
          <w:rFonts w:ascii="Tahoma" w:hAnsi="Tahoma" w:cs="Tahoma"/>
          <w:sz w:val="20"/>
          <w:szCs w:val="20"/>
        </w:rPr>
        <w:t>"Art. 3º O descumprimento do disposto na presente lei implicará ao infrator as seguintes sanções administrativas:</w:t>
      </w:r>
    </w:p>
    <w:p w14:paraId="3D4851DA" w14:textId="12E1E716" w:rsidR="00937FC5" w:rsidRPr="00EA29ED" w:rsidRDefault="00937FC5" w:rsidP="000B2127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A29ED">
        <w:rPr>
          <w:rFonts w:ascii="Tahoma" w:hAnsi="Tahoma" w:cs="Tahoma"/>
          <w:sz w:val="20"/>
          <w:szCs w:val="20"/>
        </w:rPr>
        <w:t>I - Advertência, com direito a 45 (quarenta e cinco) dias para regularização;</w:t>
      </w:r>
    </w:p>
    <w:p w14:paraId="1A78DFDE" w14:textId="47B40119" w:rsidR="00937FC5" w:rsidRPr="00EA29ED" w:rsidRDefault="00937FC5" w:rsidP="000B2127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A29ED">
        <w:rPr>
          <w:rFonts w:ascii="Tahoma" w:hAnsi="Tahoma" w:cs="Tahoma"/>
          <w:sz w:val="20"/>
          <w:szCs w:val="20"/>
        </w:rPr>
        <w:t>II - Multa no valor equivalente à referência M5, constante do Anexo I, do Código Tributário Municipal;</w:t>
      </w:r>
    </w:p>
    <w:p w14:paraId="2A310458" w14:textId="26FEC3E7" w:rsidR="00937FC5" w:rsidRPr="00EA29ED" w:rsidRDefault="00937FC5" w:rsidP="000B2127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A29ED">
        <w:rPr>
          <w:rFonts w:ascii="Tahoma" w:hAnsi="Tahoma" w:cs="Tahoma"/>
          <w:sz w:val="20"/>
          <w:szCs w:val="20"/>
        </w:rPr>
        <w:t>III - Multa equivalente ao dobro do valor da anterior, em segunda reincidência;</w:t>
      </w:r>
    </w:p>
    <w:p w14:paraId="35805C64" w14:textId="54C84834" w:rsidR="00937FC5" w:rsidRPr="00EA29ED" w:rsidRDefault="00937FC5" w:rsidP="000B2127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A29ED">
        <w:rPr>
          <w:rFonts w:ascii="Tahoma" w:hAnsi="Tahoma" w:cs="Tahoma"/>
          <w:sz w:val="20"/>
          <w:szCs w:val="20"/>
        </w:rPr>
        <w:t>IV - Suspensão do alvará de funcionamento do estabelecimento até que se faça sanar a infração."</w:t>
      </w:r>
    </w:p>
    <w:p w14:paraId="1865398E" w14:textId="42F9DEAB" w:rsidR="00937FC5" w:rsidRPr="00937FC5" w:rsidRDefault="00EA29ED" w:rsidP="00937FC5">
      <w:pPr>
        <w:pStyle w:val="paragraph"/>
        <w:shd w:val="clear" w:color="auto" w:fill="FFFFFF"/>
        <w:spacing w:after="0"/>
        <w:jc w:val="both"/>
        <w:textAlignment w:val="baseline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Assim, apresentamos </w:t>
      </w:r>
      <w:r w:rsidRPr="00EA29ED">
        <w:rPr>
          <w:rFonts w:ascii="Tahoma" w:hAnsi="Tahoma" w:cs="Tahoma"/>
          <w:b/>
          <w:bCs/>
          <w:sz w:val="22"/>
          <w:szCs w:val="22"/>
        </w:rPr>
        <w:t>Subemenda</w:t>
      </w:r>
      <w:r>
        <w:rPr>
          <w:rFonts w:ascii="Tahoma" w:hAnsi="Tahoma" w:cs="Tahoma"/>
          <w:b/>
          <w:bCs/>
          <w:sz w:val="22"/>
          <w:szCs w:val="22"/>
        </w:rPr>
        <w:t xml:space="preserve"> Aditiva</w:t>
      </w:r>
      <w:r>
        <w:rPr>
          <w:rFonts w:ascii="Tahoma" w:hAnsi="Tahoma" w:cs="Tahoma"/>
          <w:sz w:val="22"/>
          <w:szCs w:val="22"/>
        </w:rPr>
        <w:t xml:space="preserve"> à Emenda efetuada pela da CCJ ao artigo 3º do Projeto de Lei nº26 de 2025, com o seguinte teor</w:t>
      </w:r>
      <w:r w:rsidR="00937FC5" w:rsidRPr="00937FC5">
        <w:rPr>
          <w:rFonts w:ascii="Tahoma" w:hAnsi="Tahoma" w:cs="Tahoma"/>
          <w:sz w:val="22"/>
          <w:szCs w:val="22"/>
        </w:rPr>
        <w:t>:</w:t>
      </w:r>
    </w:p>
    <w:p w14:paraId="7E5DAC29" w14:textId="30E787B8" w:rsidR="00937FC5" w:rsidRPr="00EA29ED" w:rsidRDefault="00B42DEF" w:rsidP="000B2127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i/>
          <w:iCs/>
          <w:sz w:val="20"/>
          <w:szCs w:val="20"/>
        </w:rPr>
      </w:pPr>
      <w:r w:rsidRPr="00EA29ED">
        <w:rPr>
          <w:rFonts w:ascii="Tahoma" w:hAnsi="Tahoma" w:cs="Tahoma"/>
          <w:i/>
          <w:iCs/>
          <w:sz w:val="20"/>
          <w:szCs w:val="20"/>
        </w:rPr>
        <w:t>Parágrafo único.</w:t>
      </w:r>
      <w:r w:rsidR="00937FC5" w:rsidRPr="00EA29ED">
        <w:rPr>
          <w:rFonts w:ascii="Tahoma" w:hAnsi="Tahoma" w:cs="Tahoma"/>
          <w:i/>
          <w:iCs/>
          <w:sz w:val="20"/>
          <w:szCs w:val="20"/>
        </w:rPr>
        <w:t xml:space="preserve"> Os valores arrecadados com as multas previstas neste artigo serão destinados ao Fundo Municipal da Pessoa com Deficiência (FUMPEDE), conforme disposto na Lei Municipal nº 2513/2007.</w:t>
      </w:r>
    </w:p>
    <w:p w14:paraId="6AA2AE35" w14:textId="7F1B5BA5" w:rsidR="00937FC5" w:rsidRPr="00937FC5" w:rsidRDefault="00937FC5" w:rsidP="00937FC5">
      <w:pPr>
        <w:pStyle w:val="paragraph"/>
        <w:shd w:val="clear" w:color="auto" w:fill="FFFFFF"/>
        <w:spacing w:after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937FC5">
        <w:rPr>
          <w:rFonts w:ascii="Tahoma" w:hAnsi="Tahoma" w:cs="Tahoma"/>
          <w:sz w:val="22"/>
          <w:szCs w:val="22"/>
        </w:rPr>
        <w:t>A destinação dos recursos ao FUMPEDE garante que os valores arrecadados com as multas sejam revertidos em ações e programas em benefício da população com deficiência do Município de Niterói, fortalecendo a política municipal de inclusão e acessibilidade.</w:t>
      </w:r>
    </w:p>
    <w:p w14:paraId="46E0881D" w14:textId="51D2FAE4" w:rsidR="00530F50" w:rsidRDefault="00530F50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530F50">
        <w:rPr>
          <w:rStyle w:val="normaltextrun"/>
          <w:rFonts w:ascii="Tahoma" w:hAnsi="Tahoma" w:cs="Tahoma"/>
          <w:sz w:val="22"/>
          <w:szCs w:val="22"/>
        </w:rPr>
        <w:t>Desta</w:t>
      </w:r>
      <w:r>
        <w:rPr>
          <w:rStyle w:val="normaltextrun"/>
          <w:rFonts w:ascii="Tahoma" w:hAnsi="Tahoma" w:cs="Tahoma"/>
          <w:sz w:val="22"/>
          <w:szCs w:val="22"/>
        </w:rPr>
        <w:t xml:space="preserve"> feita, o artigo 3º do Projeto de Lei nº 26/2025, com a Emenda Modificativa da CCJ e Subemenda Aditiva da CDJIMPD, passa a ter a seguinte redação:</w:t>
      </w:r>
    </w:p>
    <w:p w14:paraId="607E566B" w14:textId="77777777" w:rsidR="00530F50" w:rsidRPr="00EA29ED" w:rsidRDefault="00530F50" w:rsidP="00530F50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A29ED">
        <w:rPr>
          <w:rFonts w:ascii="Tahoma" w:hAnsi="Tahoma" w:cs="Tahoma"/>
          <w:sz w:val="20"/>
          <w:szCs w:val="20"/>
        </w:rPr>
        <w:t>"Art. 3º O descumprimento do disposto na presente lei implicará ao infrator as seguintes sanções administrativas:</w:t>
      </w:r>
    </w:p>
    <w:p w14:paraId="69C6407A" w14:textId="77777777" w:rsidR="00530F50" w:rsidRPr="00EA29ED" w:rsidRDefault="00530F50" w:rsidP="00530F50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A29ED">
        <w:rPr>
          <w:rFonts w:ascii="Tahoma" w:hAnsi="Tahoma" w:cs="Tahoma"/>
          <w:sz w:val="20"/>
          <w:szCs w:val="20"/>
        </w:rPr>
        <w:t>I - Advertência, com direito a 45 (quarenta e cinco) dias para regularização;</w:t>
      </w:r>
    </w:p>
    <w:p w14:paraId="75A480F4" w14:textId="77777777" w:rsidR="00530F50" w:rsidRPr="00EA29ED" w:rsidRDefault="00530F50" w:rsidP="00530F50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A29ED">
        <w:rPr>
          <w:rFonts w:ascii="Tahoma" w:hAnsi="Tahoma" w:cs="Tahoma"/>
          <w:sz w:val="20"/>
          <w:szCs w:val="20"/>
        </w:rPr>
        <w:t>II - Multa no valor equivalente à referência M5, constante do Anexo I, do Código Tributário Municipal;</w:t>
      </w:r>
    </w:p>
    <w:p w14:paraId="42F3FB6A" w14:textId="77777777" w:rsidR="00530F50" w:rsidRPr="00EA29ED" w:rsidRDefault="00530F50" w:rsidP="00530F50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A29ED">
        <w:rPr>
          <w:rFonts w:ascii="Tahoma" w:hAnsi="Tahoma" w:cs="Tahoma"/>
          <w:sz w:val="20"/>
          <w:szCs w:val="20"/>
        </w:rPr>
        <w:t>III - Multa equivalente ao dobro do valor da anterior, em segunda reincidência;</w:t>
      </w:r>
    </w:p>
    <w:p w14:paraId="2500E534" w14:textId="13271FB9" w:rsidR="00530F50" w:rsidRDefault="00530F50" w:rsidP="00530F50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A29ED">
        <w:rPr>
          <w:rFonts w:ascii="Tahoma" w:hAnsi="Tahoma" w:cs="Tahoma"/>
          <w:sz w:val="20"/>
          <w:szCs w:val="20"/>
        </w:rPr>
        <w:t>IV - Suspensão do alvará de funcionamento do estabelecimento até que se faça sanar a infração.</w:t>
      </w:r>
    </w:p>
    <w:p w14:paraId="2AC7C413" w14:textId="456143FA" w:rsidR="00530F50" w:rsidRPr="00530F50" w:rsidRDefault="00530F50" w:rsidP="00530F50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30F50">
        <w:rPr>
          <w:rFonts w:ascii="Tahoma" w:hAnsi="Tahoma" w:cs="Tahoma"/>
          <w:sz w:val="20"/>
          <w:szCs w:val="20"/>
        </w:rPr>
        <w:t>Parágrafo único. Os valores arrecadados com as multas previstas neste artigo serão destinados ao Fundo Municipal da Pessoa com Deficiência (FUMPEDE), conforme disposto na Lei Municipal nº 2513/2007.</w:t>
      </w:r>
      <w:r>
        <w:rPr>
          <w:rFonts w:ascii="Tahoma" w:hAnsi="Tahoma" w:cs="Tahoma"/>
          <w:sz w:val="20"/>
          <w:szCs w:val="20"/>
        </w:rPr>
        <w:t>”</w:t>
      </w:r>
    </w:p>
    <w:p w14:paraId="04E0451B" w14:textId="77777777" w:rsidR="00530F50" w:rsidRPr="00EA29ED" w:rsidRDefault="00530F50" w:rsidP="00530F50">
      <w:pPr>
        <w:pStyle w:val="paragraph"/>
        <w:shd w:val="clear" w:color="auto" w:fill="FFFFFF"/>
        <w:spacing w:after="0"/>
        <w:ind w:left="2127"/>
        <w:jc w:val="both"/>
        <w:textAlignment w:val="baseline"/>
        <w:rPr>
          <w:rFonts w:ascii="Tahoma" w:hAnsi="Tahoma" w:cs="Tahoma"/>
          <w:sz w:val="20"/>
          <w:szCs w:val="20"/>
        </w:rPr>
      </w:pPr>
    </w:p>
    <w:p w14:paraId="0EA5E331" w14:textId="2ED2A397" w:rsidR="00BE0CAF" w:rsidRPr="00BE0CAF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>III - CONCLUSÃO</w:t>
      </w:r>
    </w:p>
    <w:p w14:paraId="0D0999E2" w14:textId="596D2857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 xml:space="preserve">Pelo exposto, manifestamos nosso </w:t>
      </w:r>
      <w:r w:rsidR="00EA29ED" w:rsidRPr="00EA29ED">
        <w:rPr>
          <w:rStyle w:val="normaltextrun"/>
          <w:rFonts w:ascii="Tahoma" w:hAnsi="Tahoma" w:cs="Tahoma"/>
          <w:b/>
          <w:bCs/>
          <w:sz w:val="22"/>
          <w:szCs w:val="22"/>
        </w:rPr>
        <w:t>VOTO</w:t>
      </w:r>
      <w:r w:rsidR="00937FC5">
        <w:rPr>
          <w:rStyle w:val="normaltextrun"/>
          <w:rFonts w:ascii="Tahoma" w:hAnsi="Tahoma" w:cs="Tahoma"/>
          <w:sz w:val="22"/>
          <w:szCs w:val="22"/>
        </w:rPr>
        <w:t xml:space="preserve"> </w:t>
      </w:r>
      <w:r w:rsidR="00937FC5" w:rsidRPr="00937FC5">
        <w:rPr>
          <w:rStyle w:val="normaltextrun"/>
          <w:rFonts w:ascii="Tahoma" w:hAnsi="Tahoma" w:cs="Tahoma"/>
          <w:b/>
          <w:bCs/>
          <w:sz w:val="22"/>
          <w:szCs w:val="22"/>
        </w:rPr>
        <w:t>FAVORÁVEL</w:t>
      </w:r>
      <w:r w:rsidRPr="00031912">
        <w:rPr>
          <w:rStyle w:val="normaltextrun"/>
          <w:rFonts w:ascii="Tahoma" w:hAnsi="Tahoma" w:cs="Tahoma"/>
          <w:sz w:val="22"/>
          <w:szCs w:val="22"/>
        </w:rPr>
        <w:t xml:space="preserve"> à aprovação do Projeto de Lei nº 026/2025, nos termos em que foi apresentado</w:t>
      </w:r>
      <w:r w:rsidR="00530F50">
        <w:rPr>
          <w:rStyle w:val="normaltextrun"/>
          <w:rFonts w:ascii="Tahoma" w:hAnsi="Tahoma" w:cs="Tahoma"/>
          <w:sz w:val="22"/>
          <w:szCs w:val="22"/>
        </w:rPr>
        <w:t>,</w:t>
      </w:r>
      <w:r w:rsidR="00937FC5">
        <w:rPr>
          <w:rStyle w:val="normaltextrun"/>
          <w:rFonts w:ascii="Tahoma" w:hAnsi="Tahoma" w:cs="Tahoma"/>
          <w:sz w:val="22"/>
          <w:szCs w:val="22"/>
        </w:rPr>
        <w:t xml:space="preserve"> </w:t>
      </w:r>
      <w:r w:rsidR="00937FC5" w:rsidRPr="00530F50">
        <w:rPr>
          <w:rStyle w:val="normaltextrun"/>
          <w:rFonts w:ascii="Tahoma" w:hAnsi="Tahoma" w:cs="Tahoma"/>
          <w:sz w:val="22"/>
          <w:szCs w:val="22"/>
        </w:rPr>
        <w:t>com a</w:t>
      </w:r>
      <w:r w:rsidR="00937FC5" w:rsidRPr="00937FC5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="00530F50">
        <w:rPr>
          <w:rStyle w:val="normaltextrun"/>
          <w:rFonts w:ascii="Tahoma" w:hAnsi="Tahoma" w:cs="Tahoma"/>
          <w:b/>
          <w:bCs/>
          <w:sz w:val="22"/>
          <w:szCs w:val="22"/>
        </w:rPr>
        <w:t>E</w:t>
      </w:r>
      <w:r w:rsidR="00937FC5" w:rsidRPr="00937FC5">
        <w:rPr>
          <w:rStyle w:val="normaltextrun"/>
          <w:rFonts w:ascii="Tahoma" w:hAnsi="Tahoma" w:cs="Tahoma"/>
          <w:b/>
          <w:bCs/>
          <w:sz w:val="22"/>
          <w:szCs w:val="22"/>
        </w:rPr>
        <w:t>menda</w:t>
      </w:r>
      <w:r w:rsidR="00530F50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Substitutiva</w:t>
      </w:r>
      <w:r w:rsidR="00EA29ED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e</w:t>
      </w:r>
      <w:r w:rsidR="00651695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a</w:t>
      </w:r>
      <w:r w:rsidR="00EA29ED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="00530F50">
        <w:rPr>
          <w:rStyle w:val="normaltextrun"/>
          <w:rFonts w:ascii="Tahoma" w:hAnsi="Tahoma" w:cs="Tahoma"/>
          <w:b/>
          <w:bCs/>
          <w:sz w:val="22"/>
          <w:szCs w:val="22"/>
        </w:rPr>
        <w:t>S</w:t>
      </w:r>
      <w:r w:rsidR="00EA29ED">
        <w:rPr>
          <w:rStyle w:val="normaltextrun"/>
          <w:rFonts w:ascii="Tahoma" w:hAnsi="Tahoma" w:cs="Tahoma"/>
          <w:b/>
          <w:bCs/>
          <w:sz w:val="22"/>
          <w:szCs w:val="22"/>
        </w:rPr>
        <w:t>ubemenda</w:t>
      </w:r>
      <w:r w:rsidR="00530F50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Aditiva</w:t>
      </w:r>
      <w:r w:rsidR="00937FC5" w:rsidRPr="00937FC5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="00937FC5" w:rsidRPr="00530F50">
        <w:rPr>
          <w:rStyle w:val="normaltextrun"/>
          <w:rFonts w:ascii="Tahoma" w:hAnsi="Tahoma" w:cs="Tahoma"/>
          <w:sz w:val="22"/>
          <w:szCs w:val="22"/>
        </w:rPr>
        <w:t>apresentada</w:t>
      </w:r>
      <w:r w:rsidR="00EA29ED" w:rsidRPr="00530F50">
        <w:rPr>
          <w:rStyle w:val="normaltextrun"/>
          <w:rFonts w:ascii="Tahoma" w:hAnsi="Tahoma" w:cs="Tahoma"/>
          <w:sz w:val="22"/>
          <w:szCs w:val="22"/>
        </w:rPr>
        <w:t>s</w:t>
      </w:r>
      <w:r w:rsidR="00937FC5" w:rsidRPr="00530F50">
        <w:rPr>
          <w:rStyle w:val="normaltextrun"/>
          <w:rFonts w:ascii="Tahoma" w:hAnsi="Tahoma" w:cs="Tahoma"/>
          <w:sz w:val="22"/>
          <w:szCs w:val="22"/>
        </w:rPr>
        <w:t>.</w:t>
      </w:r>
    </w:p>
    <w:p w14:paraId="446126BA" w14:textId="77777777" w:rsidR="00BE0CAF" w:rsidRPr="00031912" w:rsidRDefault="00BE0CAF" w:rsidP="00530F50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031912">
        <w:rPr>
          <w:rStyle w:val="normaltextrun"/>
          <w:rFonts w:ascii="Tahoma" w:hAnsi="Tahoma" w:cs="Tahoma"/>
          <w:sz w:val="22"/>
          <w:szCs w:val="22"/>
        </w:rPr>
        <w:t>Sala das Comissões, 17 de março de 2025.</w:t>
      </w:r>
    </w:p>
    <w:p w14:paraId="11A9E7F7" w14:textId="77777777" w:rsidR="00530F50" w:rsidRDefault="00530F50" w:rsidP="00530F50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3D49D332" w14:textId="3DB298E4" w:rsidR="00937FC5" w:rsidRPr="00530F50" w:rsidRDefault="00530F50" w:rsidP="00530F50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530F50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Fernanda Louback                              Tulio Motta                   Renato </w:t>
      </w:r>
      <w:proofErr w:type="spellStart"/>
      <w:r w:rsidRPr="00530F50">
        <w:rPr>
          <w:rStyle w:val="normaltextrun"/>
          <w:rFonts w:ascii="Tahoma" w:hAnsi="Tahoma" w:cs="Tahoma"/>
          <w:b/>
          <w:bCs/>
          <w:sz w:val="22"/>
          <w:szCs w:val="22"/>
        </w:rPr>
        <w:t>Carrielo</w:t>
      </w:r>
      <w:proofErr w:type="spellEnd"/>
    </w:p>
    <w:p w14:paraId="1B6A636F" w14:textId="247C0FE7" w:rsidR="00530F50" w:rsidRPr="00530F50" w:rsidRDefault="00530F50" w:rsidP="00530F50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530F50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  Presidente                                    Vice-Presidente                   Membro</w:t>
      </w:r>
    </w:p>
    <w:p w14:paraId="2CF2CAC0" w14:textId="043E06E8" w:rsidR="00F47E54" w:rsidRDefault="00530F50" w:rsidP="002F44AB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  <w:sectPr w:rsidR="00F47E54" w:rsidSect="001539C4">
          <w:headerReference w:type="default" r:id="rId8"/>
          <w:footerReference w:type="default" r:id="rId9"/>
          <w:pgSz w:w="11906" w:h="16838"/>
          <w:pgMar w:top="142" w:right="991" w:bottom="142" w:left="1276" w:header="708" w:footer="0" w:gutter="0"/>
          <w:cols w:space="708"/>
          <w:docGrid w:linePitch="360"/>
        </w:sectPr>
      </w:pPr>
      <w:r w:rsidRPr="00530F50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    </w:t>
      </w:r>
    </w:p>
    <w:p w14:paraId="7958E26A" w14:textId="06C3F43A" w:rsidR="00F47E54" w:rsidRDefault="00F47E54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  <w:sectPr w:rsidR="00F47E54" w:rsidSect="00F47E54">
          <w:type w:val="continuous"/>
          <w:pgSz w:w="11906" w:h="16838"/>
          <w:pgMar w:top="142" w:right="991" w:bottom="142" w:left="1276" w:header="708" w:footer="0" w:gutter="0"/>
          <w:cols w:num="3" w:space="708"/>
          <w:docGrid w:linePitch="360"/>
        </w:sectPr>
      </w:pPr>
    </w:p>
    <w:p w14:paraId="155D92C8" w14:textId="29719DEA" w:rsidR="00937FC5" w:rsidRDefault="00937FC5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18A104EC" w14:textId="00BC107C" w:rsidR="00937FC5" w:rsidRPr="00031912" w:rsidRDefault="00937FC5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54CB3CE5" w14:textId="7D5D13A7" w:rsidR="00BE0CAF" w:rsidRDefault="00BE0CAF" w:rsidP="00BE0CAF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sectPr w:rsidR="00BE0CAF" w:rsidSect="00F47E54">
      <w:type w:val="continuous"/>
      <w:pgSz w:w="11906" w:h="16838"/>
      <w:pgMar w:top="142" w:right="991" w:bottom="142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4F377" w14:textId="77777777" w:rsidR="00191750" w:rsidRDefault="00191750" w:rsidP="007718B3">
      <w:pPr>
        <w:spacing w:after="0" w:line="240" w:lineRule="auto"/>
      </w:pPr>
      <w:r>
        <w:separator/>
      </w:r>
    </w:p>
  </w:endnote>
  <w:endnote w:type="continuationSeparator" w:id="0">
    <w:p w14:paraId="74FAD3B9" w14:textId="77777777" w:rsidR="00191750" w:rsidRDefault="00191750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6B86" w14:textId="77777777" w:rsidR="00937FC5" w:rsidRDefault="00937FC5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14:paraId="0658CB46" w14:textId="46267F7B" w:rsidR="00E8727B" w:rsidRDefault="00E8727B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</w:t>
    </w:r>
    <w:r w:rsidR="001C4831">
      <w:rPr>
        <w:rFonts w:ascii="Tahoma" w:eastAsia="Tahoma" w:hAnsi="Tahoma" w:cs="Tahoma"/>
        <w:b/>
        <w:i/>
        <w:color w:val="000000"/>
        <w:sz w:val="16"/>
        <w:szCs w:val="16"/>
      </w:rPr>
      <w:t xml:space="preserve">- 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Gabinete: </w:t>
    </w:r>
    <w:r w:rsidR="001C4831"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0809F8E2" w14:textId="2984FEDE" w:rsidR="007718B3" w:rsidRPr="001A3047" w:rsidRDefault="007718B3" w:rsidP="001A3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3FA1E" w14:textId="77777777" w:rsidR="00191750" w:rsidRDefault="00191750" w:rsidP="007718B3">
      <w:pPr>
        <w:spacing w:after="0" w:line="240" w:lineRule="auto"/>
      </w:pPr>
      <w:r>
        <w:separator/>
      </w:r>
    </w:p>
  </w:footnote>
  <w:footnote w:type="continuationSeparator" w:id="0">
    <w:p w14:paraId="0FDE3BB1" w14:textId="77777777" w:rsidR="00191750" w:rsidRDefault="00191750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BE0CAF">
      <w:trPr>
        <w:trHeight w:val="1696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36206232">
                <wp:extent cx="752475" cy="906040"/>
                <wp:effectExtent l="0" t="0" r="0" b="8890"/>
                <wp:docPr id="903716889" name="Imagem 9037168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657" cy="9110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2E25E82F" w14:textId="77777777" w:rsidR="00BE0CAF" w:rsidRPr="007F5D4B" w:rsidRDefault="00BE0CAF" w:rsidP="00BE0CAF">
          <w:pPr>
            <w:pStyle w:val="Cabealho"/>
            <w:jc w:val="center"/>
            <w:rPr>
              <w:rFonts w:ascii="Tahoma" w:hAnsi="Tahoma" w:cs="Tahoma"/>
              <w:b/>
              <w:bCs/>
              <w:sz w:val="36"/>
              <w:szCs w:val="36"/>
            </w:rPr>
          </w:pPr>
          <w:r w:rsidRPr="007F5D4B">
            <w:rPr>
              <w:rFonts w:ascii="Tahoma" w:hAnsi="Tahoma" w:cs="Tahoma"/>
              <w:b/>
              <w:bCs/>
              <w:sz w:val="36"/>
              <w:szCs w:val="36"/>
            </w:rPr>
            <w:t>Câmara Municipal de Niterói</w:t>
          </w:r>
        </w:p>
        <w:p w14:paraId="7F4923FE" w14:textId="77777777" w:rsidR="00BE0CAF" w:rsidRPr="00031912" w:rsidRDefault="00BE0CAF" w:rsidP="00BE0CAF">
          <w:pPr>
            <w:pStyle w:val="Cabealho"/>
            <w:jc w:val="center"/>
            <w:rPr>
              <w:rFonts w:ascii="Tahoma" w:hAnsi="Tahoma" w:cs="Tahoma"/>
              <w:sz w:val="2"/>
              <w:szCs w:val="2"/>
            </w:rPr>
          </w:pPr>
        </w:p>
        <w:p w14:paraId="50B61664" w14:textId="64A83868" w:rsidR="007718B3" w:rsidRDefault="00BE0CAF" w:rsidP="00BE0CAF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031912">
            <w:rPr>
              <w:rFonts w:ascii="Tahoma" w:hAnsi="Tahoma" w:cs="Tahoma"/>
              <w:b/>
              <w:bCs/>
            </w:rPr>
            <w:t> Comissão Permanente de Direitos da Juventude, do Idoso e da Pessoa com Deficiência</w:t>
          </w:r>
          <w:r>
            <w:rPr>
              <w:rFonts w:ascii="Tahoma" w:hAnsi="Tahoma" w:cs="Tahoma"/>
              <w:b/>
              <w:bCs/>
            </w:rPr>
            <w:t xml:space="preserve"> </w:t>
          </w:r>
          <w:r w:rsidRPr="00031912">
            <w:rPr>
              <w:rFonts w:ascii="Tahoma" w:hAnsi="Tahoma" w:cs="Tahoma"/>
              <w:b/>
              <w:bCs/>
            </w:rPr>
            <w:t>– CDJIMPD</w:t>
          </w: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E7BE6"/>
    <w:multiLevelType w:val="hybridMultilevel"/>
    <w:tmpl w:val="F312A8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88485">
    <w:abstractNumId w:val="1"/>
  </w:num>
  <w:num w:numId="2" w16cid:durableId="1156607476">
    <w:abstractNumId w:val="0"/>
  </w:num>
  <w:num w:numId="3" w16cid:durableId="115150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8B3"/>
    <w:rsid w:val="000070C4"/>
    <w:rsid w:val="000171B0"/>
    <w:rsid w:val="00027DFC"/>
    <w:rsid w:val="00030C57"/>
    <w:rsid w:val="00052A02"/>
    <w:rsid w:val="00060303"/>
    <w:rsid w:val="00064F01"/>
    <w:rsid w:val="000A3AE4"/>
    <w:rsid w:val="000B2127"/>
    <w:rsid w:val="000B3AE2"/>
    <w:rsid w:val="000C1592"/>
    <w:rsid w:val="000E1A16"/>
    <w:rsid w:val="00104936"/>
    <w:rsid w:val="00145ADB"/>
    <w:rsid w:val="001539C4"/>
    <w:rsid w:val="00163C83"/>
    <w:rsid w:val="001665F2"/>
    <w:rsid w:val="00171721"/>
    <w:rsid w:val="00171CA4"/>
    <w:rsid w:val="00180CD0"/>
    <w:rsid w:val="00191750"/>
    <w:rsid w:val="001A0ECB"/>
    <w:rsid w:val="001A3047"/>
    <w:rsid w:val="001A65D8"/>
    <w:rsid w:val="001C1A89"/>
    <w:rsid w:val="001C4831"/>
    <w:rsid w:val="001D545D"/>
    <w:rsid w:val="002066F2"/>
    <w:rsid w:val="0021277E"/>
    <w:rsid w:val="0021621B"/>
    <w:rsid w:val="002171B9"/>
    <w:rsid w:val="00246FC2"/>
    <w:rsid w:val="00263DCC"/>
    <w:rsid w:val="00272F3A"/>
    <w:rsid w:val="00280EB0"/>
    <w:rsid w:val="002A183D"/>
    <w:rsid w:val="002A4494"/>
    <w:rsid w:val="002B042F"/>
    <w:rsid w:val="002C1992"/>
    <w:rsid w:val="002D3F58"/>
    <w:rsid w:val="002F44AB"/>
    <w:rsid w:val="002F4BD4"/>
    <w:rsid w:val="0031761B"/>
    <w:rsid w:val="00381434"/>
    <w:rsid w:val="003B6D9A"/>
    <w:rsid w:val="003F11A9"/>
    <w:rsid w:val="004024D8"/>
    <w:rsid w:val="004170E3"/>
    <w:rsid w:val="004251F0"/>
    <w:rsid w:val="00431B24"/>
    <w:rsid w:val="00440720"/>
    <w:rsid w:val="004415B3"/>
    <w:rsid w:val="004847E5"/>
    <w:rsid w:val="0049132C"/>
    <w:rsid w:val="00495FE5"/>
    <w:rsid w:val="004A35EB"/>
    <w:rsid w:val="004A6EEE"/>
    <w:rsid w:val="004C3C29"/>
    <w:rsid w:val="004D330E"/>
    <w:rsid w:val="004E29CB"/>
    <w:rsid w:val="004F1D6B"/>
    <w:rsid w:val="00521909"/>
    <w:rsid w:val="00521CB3"/>
    <w:rsid w:val="00530988"/>
    <w:rsid w:val="00530F50"/>
    <w:rsid w:val="00544C10"/>
    <w:rsid w:val="00544CB1"/>
    <w:rsid w:val="0056558B"/>
    <w:rsid w:val="00590393"/>
    <w:rsid w:val="005B7B73"/>
    <w:rsid w:val="005E148C"/>
    <w:rsid w:val="005E344B"/>
    <w:rsid w:val="006014F7"/>
    <w:rsid w:val="00610CA5"/>
    <w:rsid w:val="00615DB4"/>
    <w:rsid w:val="006166CF"/>
    <w:rsid w:val="00616872"/>
    <w:rsid w:val="00627A6F"/>
    <w:rsid w:val="00650D68"/>
    <w:rsid w:val="00651695"/>
    <w:rsid w:val="006609CD"/>
    <w:rsid w:val="006730C0"/>
    <w:rsid w:val="00673F44"/>
    <w:rsid w:val="0069684D"/>
    <w:rsid w:val="00696905"/>
    <w:rsid w:val="006B4AE2"/>
    <w:rsid w:val="00700B78"/>
    <w:rsid w:val="007178A6"/>
    <w:rsid w:val="00724CEC"/>
    <w:rsid w:val="00736677"/>
    <w:rsid w:val="00746B15"/>
    <w:rsid w:val="007716A2"/>
    <w:rsid w:val="007718B3"/>
    <w:rsid w:val="0077276D"/>
    <w:rsid w:val="00774EEF"/>
    <w:rsid w:val="00783E31"/>
    <w:rsid w:val="00791CDD"/>
    <w:rsid w:val="00793B91"/>
    <w:rsid w:val="007B1A97"/>
    <w:rsid w:val="007B6368"/>
    <w:rsid w:val="007C1D4C"/>
    <w:rsid w:val="007E16C4"/>
    <w:rsid w:val="007E3B7F"/>
    <w:rsid w:val="007F4D08"/>
    <w:rsid w:val="0080249C"/>
    <w:rsid w:val="0080574B"/>
    <w:rsid w:val="0082190E"/>
    <w:rsid w:val="00846104"/>
    <w:rsid w:val="00861DB9"/>
    <w:rsid w:val="008A62A3"/>
    <w:rsid w:val="008B26F5"/>
    <w:rsid w:val="008C151B"/>
    <w:rsid w:val="008D34CC"/>
    <w:rsid w:val="008D7409"/>
    <w:rsid w:val="008E2395"/>
    <w:rsid w:val="0091088D"/>
    <w:rsid w:val="00910CE4"/>
    <w:rsid w:val="00912BA8"/>
    <w:rsid w:val="009133D6"/>
    <w:rsid w:val="00915282"/>
    <w:rsid w:val="00930B18"/>
    <w:rsid w:val="00937F34"/>
    <w:rsid w:val="00937FC5"/>
    <w:rsid w:val="00966DC0"/>
    <w:rsid w:val="00974E4D"/>
    <w:rsid w:val="00992B24"/>
    <w:rsid w:val="009A51CC"/>
    <w:rsid w:val="009D1616"/>
    <w:rsid w:val="009E4B4B"/>
    <w:rsid w:val="009F5D10"/>
    <w:rsid w:val="009F6ED1"/>
    <w:rsid w:val="00A201CC"/>
    <w:rsid w:val="00A2112C"/>
    <w:rsid w:val="00A32C75"/>
    <w:rsid w:val="00A3430A"/>
    <w:rsid w:val="00A758AC"/>
    <w:rsid w:val="00A96460"/>
    <w:rsid w:val="00AC0100"/>
    <w:rsid w:val="00AC7D05"/>
    <w:rsid w:val="00AF18EE"/>
    <w:rsid w:val="00B14196"/>
    <w:rsid w:val="00B242EB"/>
    <w:rsid w:val="00B31E50"/>
    <w:rsid w:val="00B34835"/>
    <w:rsid w:val="00B42DEF"/>
    <w:rsid w:val="00B47E06"/>
    <w:rsid w:val="00B570E2"/>
    <w:rsid w:val="00B63BC0"/>
    <w:rsid w:val="00B65ACD"/>
    <w:rsid w:val="00B819B5"/>
    <w:rsid w:val="00BA3D95"/>
    <w:rsid w:val="00BC64CD"/>
    <w:rsid w:val="00BC6FAA"/>
    <w:rsid w:val="00BE0CAF"/>
    <w:rsid w:val="00BE163C"/>
    <w:rsid w:val="00BE6A4E"/>
    <w:rsid w:val="00BF740D"/>
    <w:rsid w:val="00C22174"/>
    <w:rsid w:val="00C41022"/>
    <w:rsid w:val="00C805BE"/>
    <w:rsid w:val="00CA0E69"/>
    <w:rsid w:val="00CB4CE8"/>
    <w:rsid w:val="00CD21F5"/>
    <w:rsid w:val="00CD30BC"/>
    <w:rsid w:val="00D27540"/>
    <w:rsid w:val="00D30F6B"/>
    <w:rsid w:val="00D60723"/>
    <w:rsid w:val="00DA2C19"/>
    <w:rsid w:val="00DF796E"/>
    <w:rsid w:val="00E51132"/>
    <w:rsid w:val="00E8727B"/>
    <w:rsid w:val="00E93FEB"/>
    <w:rsid w:val="00EA29ED"/>
    <w:rsid w:val="00EC39D8"/>
    <w:rsid w:val="00EC6AB9"/>
    <w:rsid w:val="00EF1703"/>
    <w:rsid w:val="00F152DA"/>
    <w:rsid w:val="00F35660"/>
    <w:rsid w:val="00F47E54"/>
    <w:rsid w:val="00F53A0A"/>
    <w:rsid w:val="00F6077E"/>
    <w:rsid w:val="00F61C9D"/>
    <w:rsid w:val="00F70B6F"/>
    <w:rsid w:val="00F84CAF"/>
    <w:rsid w:val="00F92AC5"/>
    <w:rsid w:val="00F97818"/>
    <w:rsid w:val="00FA41E8"/>
    <w:rsid w:val="00FB0B0F"/>
    <w:rsid w:val="00FB504A"/>
    <w:rsid w:val="00FB5571"/>
    <w:rsid w:val="00FB7EB5"/>
    <w:rsid w:val="00FC69A2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2D270"/>
  <w15:docId w15:val="{65B93B97-5749-447A-ABAD-765B6886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8D5B3-4097-4C27-8B87-577F5CD8C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1677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Guilherme Decnop</cp:lastModifiedBy>
  <cp:revision>11</cp:revision>
  <cp:lastPrinted>2025-01-02T15:32:00Z</cp:lastPrinted>
  <dcterms:created xsi:type="dcterms:W3CDTF">2025-03-17T15:28:00Z</dcterms:created>
  <dcterms:modified xsi:type="dcterms:W3CDTF">2025-03-17T18:02:00Z</dcterms:modified>
</cp:coreProperties>
</file>