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9F12F5" w14:textId="77777777" w:rsidR="00BD2335" w:rsidRPr="00BD2335" w:rsidRDefault="00BD2335" w:rsidP="00BD2335">
      <w:pPr>
        <w:spacing w:after="200" w:line="336" w:lineRule="auto"/>
        <w:rPr>
          <w:rFonts w:ascii="Tahoma" w:eastAsia="Calibri" w:hAnsi="Tahoma" w:cs="Tahoma"/>
          <w:sz w:val="22"/>
          <w:szCs w:val="22"/>
          <w:lang w:eastAsia="en-US"/>
        </w:rPr>
      </w:pPr>
    </w:p>
    <w:p w14:paraId="59A6EB0A" w14:textId="77777777" w:rsidR="00BD2335" w:rsidRPr="00BD2335" w:rsidRDefault="00BD2335" w:rsidP="00BD2335">
      <w:pPr>
        <w:spacing w:after="200" w:line="336" w:lineRule="auto"/>
        <w:jc w:val="center"/>
        <w:rPr>
          <w:rFonts w:ascii="Tahoma" w:eastAsia="Calibri" w:hAnsi="Tahoma" w:cs="Tahoma"/>
          <w:sz w:val="22"/>
          <w:szCs w:val="22"/>
          <w:lang w:eastAsia="en-US"/>
        </w:rPr>
      </w:pPr>
      <w:r w:rsidRPr="00BD2335">
        <w:rPr>
          <w:rFonts w:ascii="Tahoma" w:eastAsia="Calibri" w:hAnsi="Tahoma" w:cs="Tahoma"/>
          <w:sz w:val="22"/>
          <w:szCs w:val="22"/>
          <w:lang w:eastAsia="en-US"/>
        </w:rPr>
        <w:t xml:space="preserve">PROJETO DE LEI Nº ____, DE </w:t>
      </w:r>
      <w:proofErr w:type="gramStart"/>
      <w:r w:rsidRPr="00BD2335">
        <w:rPr>
          <w:rFonts w:ascii="Tahoma" w:eastAsia="Calibri" w:hAnsi="Tahoma" w:cs="Tahoma"/>
          <w:sz w:val="22"/>
          <w:szCs w:val="22"/>
          <w:lang w:eastAsia="en-US"/>
        </w:rPr>
        <w:t>2025</w:t>
      </w:r>
      <w:proofErr w:type="gramEnd"/>
    </w:p>
    <w:p w14:paraId="0486323A" w14:textId="77777777" w:rsidR="00BD2335" w:rsidRPr="00BD2335" w:rsidRDefault="00BD2335" w:rsidP="00BD2335">
      <w:pPr>
        <w:spacing w:after="200" w:line="336" w:lineRule="auto"/>
        <w:jc w:val="both"/>
        <w:rPr>
          <w:rFonts w:ascii="Tahoma" w:eastAsia="Calibri" w:hAnsi="Tahoma" w:cs="Tahoma"/>
          <w:sz w:val="22"/>
          <w:szCs w:val="22"/>
          <w:lang w:eastAsia="en-US"/>
        </w:rPr>
      </w:pPr>
    </w:p>
    <w:p w14:paraId="0FB8437F" w14:textId="413B569C" w:rsidR="00BD2335" w:rsidRPr="00BD2335" w:rsidRDefault="00BD2335" w:rsidP="00BD2335">
      <w:pPr>
        <w:spacing w:after="200" w:line="336" w:lineRule="auto"/>
        <w:ind w:left="2832"/>
        <w:jc w:val="both"/>
        <w:rPr>
          <w:rFonts w:ascii="Tahoma" w:eastAsia="Calibri" w:hAnsi="Tahoma" w:cs="Tahoma"/>
          <w:sz w:val="22"/>
          <w:szCs w:val="22"/>
          <w:lang w:eastAsia="en-US"/>
        </w:rPr>
      </w:pPr>
      <w:r w:rsidRPr="00BD2335">
        <w:rPr>
          <w:rFonts w:ascii="Tahoma" w:eastAsia="Calibri" w:hAnsi="Tahoma" w:cs="Tahoma"/>
          <w:sz w:val="22"/>
          <w:szCs w:val="22"/>
          <w:lang w:eastAsia="en-US"/>
        </w:rPr>
        <w:t xml:space="preserve">“INSTITUI A OBRIGATORIEDADE DE </w:t>
      </w:r>
      <w:r w:rsidR="00347ED9">
        <w:rPr>
          <w:rFonts w:ascii="Tahoma" w:eastAsia="Calibri" w:hAnsi="Tahoma" w:cs="Tahoma"/>
          <w:sz w:val="22"/>
          <w:szCs w:val="22"/>
          <w:lang w:eastAsia="en-US"/>
        </w:rPr>
        <w:t xml:space="preserve">CAPACITAÇÃO </w:t>
      </w:r>
      <w:r w:rsidRPr="00BD2335">
        <w:rPr>
          <w:rFonts w:ascii="Tahoma" w:eastAsia="Calibri" w:hAnsi="Tahoma" w:cs="Tahoma"/>
          <w:sz w:val="22"/>
          <w:szCs w:val="22"/>
          <w:lang w:eastAsia="en-US"/>
        </w:rPr>
        <w:t>DE PROFISSIONAIS QUE ATUAM</w:t>
      </w:r>
      <w:r w:rsidR="00493B27">
        <w:rPr>
          <w:rFonts w:ascii="Tahoma" w:eastAsia="Calibri" w:hAnsi="Tahoma" w:cs="Tahoma"/>
          <w:sz w:val="22"/>
          <w:szCs w:val="22"/>
          <w:lang w:eastAsia="en-US"/>
        </w:rPr>
        <w:t xml:space="preserve"> NO MERCADO </w:t>
      </w:r>
      <w:r w:rsidR="00493B27" w:rsidRPr="00BD2335">
        <w:rPr>
          <w:rFonts w:ascii="Tahoma" w:eastAsia="Calibri" w:hAnsi="Tahoma" w:cs="Tahoma"/>
          <w:sz w:val="22"/>
          <w:szCs w:val="22"/>
          <w:lang w:eastAsia="en-US"/>
        </w:rPr>
        <w:t>EDUCACIONAL, CU</w:t>
      </w:r>
      <w:r w:rsidR="00493B27">
        <w:rPr>
          <w:rFonts w:ascii="Tahoma" w:eastAsia="Calibri" w:hAnsi="Tahoma" w:cs="Tahoma"/>
          <w:sz w:val="22"/>
          <w:szCs w:val="22"/>
          <w:lang w:eastAsia="en-US"/>
        </w:rPr>
        <w:t>LTURAL E DESPORTIVO NO ÂMBITO DO</w:t>
      </w:r>
      <w:r w:rsidR="00493B27" w:rsidRPr="00BD2335">
        <w:rPr>
          <w:rFonts w:ascii="Tahoma" w:eastAsia="Calibri" w:hAnsi="Tahoma" w:cs="Tahoma"/>
          <w:sz w:val="22"/>
          <w:szCs w:val="22"/>
          <w:lang w:eastAsia="en-US"/>
        </w:rPr>
        <w:t xml:space="preserve"> </w:t>
      </w:r>
      <w:r w:rsidR="00493B27">
        <w:rPr>
          <w:rFonts w:ascii="Tahoma" w:eastAsia="Calibri" w:hAnsi="Tahoma" w:cs="Tahoma"/>
          <w:sz w:val="22"/>
          <w:szCs w:val="22"/>
          <w:lang w:eastAsia="en-US"/>
        </w:rPr>
        <w:t xml:space="preserve">MUNICÍPIO </w:t>
      </w:r>
      <w:r w:rsidR="00493B27" w:rsidRPr="00BD2335">
        <w:rPr>
          <w:rFonts w:ascii="Tahoma" w:eastAsia="Calibri" w:hAnsi="Tahoma" w:cs="Tahoma"/>
          <w:sz w:val="22"/>
          <w:szCs w:val="22"/>
          <w:lang w:eastAsia="en-US"/>
        </w:rPr>
        <w:t xml:space="preserve">DE NITERÓI </w:t>
      </w:r>
      <w:r w:rsidRPr="00BD2335">
        <w:rPr>
          <w:rFonts w:ascii="Tahoma" w:eastAsia="Calibri" w:hAnsi="Tahoma" w:cs="Tahoma"/>
          <w:sz w:val="22"/>
          <w:szCs w:val="22"/>
          <w:lang w:eastAsia="en-US"/>
        </w:rPr>
        <w:t xml:space="preserve">COM PESSOA COM TRANSTORNO DO ESPECTRO AUTISTA </w:t>
      </w:r>
      <w:r w:rsidR="00493B27">
        <w:rPr>
          <w:rFonts w:ascii="Tahoma" w:eastAsia="Calibri" w:hAnsi="Tahoma" w:cs="Tahoma"/>
          <w:sz w:val="22"/>
          <w:szCs w:val="22"/>
          <w:lang w:eastAsia="en-US"/>
        </w:rPr>
        <w:t xml:space="preserve">NA AREA </w:t>
      </w:r>
      <w:r w:rsidRPr="00BD2335">
        <w:rPr>
          <w:rFonts w:ascii="Tahoma" w:eastAsia="Calibri" w:hAnsi="Tahoma" w:cs="Tahoma"/>
          <w:sz w:val="22"/>
          <w:szCs w:val="22"/>
          <w:lang w:eastAsia="en-US"/>
        </w:rPr>
        <w:t>E DÁ OUTRAS PROVIDÊNCIAS.”</w:t>
      </w:r>
    </w:p>
    <w:p w14:paraId="2B021A8E" w14:textId="77777777" w:rsidR="00BD2335" w:rsidRPr="00BD2335" w:rsidRDefault="00BD2335" w:rsidP="00BD2335">
      <w:pPr>
        <w:spacing w:after="200" w:line="336" w:lineRule="auto"/>
        <w:jc w:val="both"/>
        <w:rPr>
          <w:rFonts w:ascii="Tahoma" w:eastAsia="Calibri" w:hAnsi="Tahoma" w:cs="Tahoma"/>
          <w:sz w:val="22"/>
          <w:szCs w:val="22"/>
          <w:lang w:eastAsia="en-US"/>
        </w:rPr>
      </w:pPr>
    </w:p>
    <w:p w14:paraId="3F7DEB8E" w14:textId="5B5CCE1E" w:rsidR="00BD2335" w:rsidRPr="00BD2335" w:rsidRDefault="00BD2335" w:rsidP="00BD2335">
      <w:pPr>
        <w:spacing w:after="200" w:line="336" w:lineRule="auto"/>
        <w:jc w:val="both"/>
        <w:rPr>
          <w:rFonts w:ascii="Tahoma" w:eastAsia="Calibri" w:hAnsi="Tahoma" w:cs="Tahoma"/>
          <w:sz w:val="22"/>
          <w:szCs w:val="22"/>
          <w:lang w:eastAsia="en-US"/>
        </w:rPr>
      </w:pPr>
      <w:r w:rsidRPr="00BD2335">
        <w:rPr>
          <w:rFonts w:ascii="Tahoma" w:eastAsia="Calibri" w:hAnsi="Tahoma" w:cs="Tahoma"/>
          <w:sz w:val="22"/>
          <w:szCs w:val="22"/>
          <w:lang w:eastAsia="en-US"/>
        </w:rPr>
        <w:t xml:space="preserve">Art. 1º. Esta Lei institui a obrigatoriedade de </w:t>
      </w:r>
      <w:r w:rsidR="00347ED9">
        <w:rPr>
          <w:rFonts w:ascii="Tahoma" w:eastAsia="Calibri" w:hAnsi="Tahoma" w:cs="Tahoma"/>
          <w:sz w:val="22"/>
          <w:szCs w:val="22"/>
          <w:lang w:eastAsia="en-US"/>
        </w:rPr>
        <w:t xml:space="preserve">capacitação </w:t>
      </w:r>
      <w:r w:rsidRPr="00BD2335">
        <w:rPr>
          <w:rFonts w:ascii="Tahoma" w:eastAsia="Calibri" w:hAnsi="Tahoma" w:cs="Tahoma"/>
          <w:sz w:val="22"/>
          <w:szCs w:val="22"/>
          <w:lang w:eastAsia="en-US"/>
        </w:rPr>
        <w:t>de profissionais que atuam no mercado educacional, cu</w:t>
      </w:r>
      <w:r w:rsidR="00347ED9">
        <w:rPr>
          <w:rFonts w:ascii="Tahoma" w:eastAsia="Calibri" w:hAnsi="Tahoma" w:cs="Tahoma"/>
          <w:sz w:val="22"/>
          <w:szCs w:val="22"/>
          <w:lang w:eastAsia="en-US"/>
        </w:rPr>
        <w:t>ltural e desportivo no âmbito do</w:t>
      </w:r>
      <w:r w:rsidRPr="00BD2335">
        <w:rPr>
          <w:rFonts w:ascii="Tahoma" w:eastAsia="Calibri" w:hAnsi="Tahoma" w:cs="Tahoma"/>
          <w:sz w:val="22"/>
          <w:szCs w:val="22"/>
          <w:lang w:eastAsia="en-US"/>
        </w:rPr>
        <w:t xml:space="preserve"> </w:t>
      </w:r>
      <w:r w:rsidR="00347ED9">
        <w:rPr>
          <w:rFonts w:ascii="Tahoma" w:eastAsia="Calibri" w:hAnsi="Tahoma" w:cs="Tahoma"/>
          <w:sz w:val="22"/>
          <w:szCs w:val="22"/>
          <w:lang w:eastAsia="en-US"/>
        </w:rPr>
        <w:t xml:space="preserve">Município </w:t>
      </w:r>
      <w:r w:rsidRPr="00BD2335">
        <w:rPr>
          <w:rFonts w:ascii="Tahoma" w:eastAsia="Calibri" w:hAnsi="Tahoma" w:cs="Tahoma"/>
          <w:sz w:val="22"/>
          <w:szCs w:val="22"/>
          <w:lang w:eastAsia="en-US"/>
        </w:rPr>
        <w:t>de Niterói, e que atuam com pessoas com Transtorno do Espectro Autista;</w:t>
      </w:r>
    </w:p>
    <w:p w14:paraId="2B3BD8FD" w14:textId="60804586" w:rsidR="00BD2335" w:rsidRPr="00BD2335" w:rsidRDefault="00493B27" w:rsidP="00BD2335">
      <w:pPr>
        <w:spacing w:after="200" w:line="336" w:lineRule="auto"/>
        <w:jc w:val="both"/>
        <w:rPr>
          <w:rFonts w:ascii="Tahoma" w:eastAsia="Calibri" w:hAnsi="Tahoma" w:cs="Tahoma"/>
          <w:sz w:val="22"/>
          <w:szCs w:val="22"/>
          <w:lang w:eastAsia="en-US"/>
        </w:rPr>
      </w:pPr>
      <w:r>
        <w:rPr>
          <w:rFonts w:ascii="Tahoma" w:eastAsia="Calibri" w:hAnsi="Tahoma" w:cs="Tahoma"/>
          <w:sz w:val="22"/>
          <w:szCs w:val="22"/>
          <w:lang w:eastAsia="en-US"/>
        </w:rPr>
        <w:t>Art.</w:t>
      </w:r>
      <w:r w:rsidR="00BD2335" w:rsidRPr="00BD2335">
        <w:rPr>
          <w:rFonts w:ascii="Tahoma" w:eastAsia="Calibri" w:hAnsi="Tahoma" w:cs="Tahoma"/>
          <w:sz w:val="22"/>
          <w:szCs w:val="22"/>
          <w:lang w:eastAsia="en-US"/>
        </w:rPr>
        <w:t xml:space="preserve"> 2º. Para fins de </w:t>
      </w:r>
      <w:r w:rsidR="00347ED9">
        <w:rPr>
          <w:rFonts w:ascii="Tahoma" w:eastAsia="Calibri" w:hAnsi="Tahoma" w:cs="Tahoma"/>
          <w:sz w:val="22"/>
          <w:szCs w:val="22"/>
          <w:lang w:eastAsia="en-US"/>
        </w:rPr>
        <w:t>capacitação</w:t>
      </w:r>
      <w:r w:rsidR="00BD2335" w:rsidRPr="00BD2335">
        <w:rPr>
          <w:rFonts w:ascii="Tahoma" w:eastAsia="Calibri" w:hAnsi="Tahoma" w:cs="Tahoma"/>
          <w:sz w:val="22"/>
          <w:szCs w:val="22"/>
          <w:lang w:eastAsia="en-US"/>
        </w:rPr>
        <w:t xml:space="preserve">, o Poder Público disponibilizará curso de formação para os educadores </w:t>
      </w:r>
      <w:r>
        <w:rPr>
          <w:rFonts w:ascii="Tahoma" w:eastAsia="Calibri" w:hAnsi="Tahoma" w:cs="Tahoma"/>
          <w:sz w:val="22"/>
          <w:szCs w:val="22"/>
          <w:lang w:eastAsia="en-US"/>
        </w:rPr>
        <w:t>visando auxiliar, especialmente, à</w:t>
      </w:r>
      <w:r w:rsidR="00BD2335" w:rsidRPr="00BD2335">
        <w:rPr>
          <w:rFonts w:ascii="Tahoma" w:eastAsia="Calibri" w:hAnsi="Tahoma" w:cs="Tahoma"/>
          <w:sz w:val="22"/>
          <w:szCs w:val="22"/>
          <w:lang w:eastAsia="en-US"/>
        </w:rPr>
        <w:t xml:space="preserve"> garantia da educação inclusiva e na elaboração e aplicação dos planejamentos educacionais individualizados voltados aos estudantes com TEA, tudo em consonância com Lei Federal nº 12.764, de 27 de dezembro de 2012, que institui a Política Nacional de Proteção dos Direitos da Pessoa com Transtorno do Espectro Autista e estabelece diretrizes para sua consecução.</w:t>
      </w:r>
    </w:p>
    <w:p w14:paraId="0CD7C123" w14:textId="53AA8686" w:rsidR="00BD2335" w:rsidRPr="00BD2335" w:rsidRDefault="00BD2335" w:rsidP="00BD2335">
      <w:pPr>
        <w:spacing w:after="200" w:line="336" w:lineRule="auto"/>
        <w:jc w:val="both"/>
        <w:rPr>
          <w:rFonts w:ascii="Tahoma" w:eastAsia="Calibri" w:hAnsi="Tahoma" w:cs="Tahoma"/>
          <w:sz w:val="22"/>
          <w:szCs w:val="22"/>
          <w:lang w:eastAsia="en-US"/>
        </w:rPr>
      </w:pPr>
      <w:r w:rsidRPr="00BD2335">
        <w:rPr>
          <w:rFonts w:ascii="Tahoma" w:eastAsia="Calibri" w:hAnsi="Tahoma" w:cs="Tahoma"/>
          <w:sz w:val="22"/>
          <w:szCs w:val="22"/>
          <w:lang w:eastAsia="en-US"/>
        </w:rPr>
        <w:t xml:space="preserve">Parágrafo único: O curso de </w:t>
      </w:r>
      <w:r w:rsidR="00347ED9">
        <w:rPr>
          <w:rFonts w:ascii="Tahoma" w:eastAsia="Calibri" w:hAnsi="Tahoma" w:cs="Tahoma"/>
          <w:sz w:val="22"/>
          <w:szCs w:val="22"/>
          <w:lang w:eastAsia="en-US"/>
        </w:rPr>
        <w:t xml:space="preserve">capacitação </w:t>
      </w:r>
      <w:r w:rsidRPr="00BD2335">
        <w:rPr>
          <w:rFonts w:ascii="Tahoma" w:eastAsia="Calibri" w:hAnsi="Tahoma" w:cs="Tahoma"/>
          <w:sz w:val="22"/>
          <w:szCs w:val="22"/>
          <w:lang w:eastAsia="en-US"/>
        </w:rPr>
        <w:t>a que se refere o c</w:t>
      </w:r>
      <w:r w:rsidR="00347ED9">
        <w:rPr>
          <w:rFonts w:ascii="Tahoma" w:eastAsia="Calibri" w:hAnsi="Tahoma" w:cs="Tahoma"/>
          <w:sz w:val="22"/>
          <w:szCs w:val="22"/>
          <w:lang w:eastAsia="en-US"/>
        </w:rPr>
        <w:t>aput do art. 2º será ministrado</w:t>
      </w:r>
      <w:r w:rsidRPr="00BD2335">
        <w:rPr>
          <w:rFonts w:ascii="Tahoma" w:eastAsia="Calibri" w:hAnsi="Tahoma" w:cs="Tahoma"/>
          <w:sz w:val="22"/>
          <w:szCs w:val="22"/>
          <w:lang w:eastAsia="en-US"/>
        </w:rPr>
        <w:t xml:space="preserve"> por equipe multidisciplinar composto por funcionários públicos municipais já integrantes da administração pública</w:t>
      </w:r>
      <w:r w:rsidR="00347ED9">
        <w:rPr>
          <w:rFonts w:ascii="Tahoma" w:eastAsia="Calibri" w:hAnsi="Tahoma" w:cs="Tahoma"/>
          <w:sz w:val="22"/>
          <w:szCs w:val="22"/>
          <w:lang w:eastAsia="en-US"/>
        </w:rPr>
        <w:t xml:space="preserve"> e que já possuem capacitação </w:t>
      </w:r>
      <w:r w:rsidR="00493B27">
        <w:rPr>
          <w:rFonts w:ascii="Tahoma" w:eastAsia="Calibri" w:hAnsi="Tahoma" w:cs="Tahoma"/>
          <w:sz w:val="22"/>
          <w:szCs w:val="22"/>
          <w:lang w:eastAsia="en-US"/>
        </w:rPr>
        <w:t xml:space="preserve">na área do </w:t>
      </w:r>
      <w:r w:rsidR="00347ED9">
        <w:rPr>
          <w:rFonts w:ascii="Tahoma" w:eastAsia="Calibri" w:hAnsi="Tahoma" w:cs="Tahoma"/>
          <w:sz w:val="22"/>
          <w:szCs w:val="22"/>
          <w:lang w:eastAsia="en-US"/>
        </w:rPr>
        <w:t>TEA</w:t>
      </w:r>
      <w:r w:rsidRPr="00BD2335">
        <w:rPr>
          <w:rFonts w:ascii="Tahoma" w:eastAsia="Calibri" w:hAnsi="Tahoma" w:cs="Tahoma"/>
          <w:sz w:val="22"/>
          <w:szCs w:val="22"/>
          <w:lang w:eastAsia="en-US"/>
        </w:rPr>
        <w:t>, sem despesas adicionais.</w:t>
      </w:r>
    </w:p>
    <w:p w14:paraId="4C1917BB" w14:textId="706FC2E9" w:rsidR="00BD2335" w:rsidRPr="00BD2335" w:rsidRDefault="00BD2335" w:rsidP="00BD2335">
      <w:pPr>
        <w:spacing w:after="200" w:line="336" w:lineRule="auto"/>
        <w:jc w:val="both"/>
        <w:rPr>
          <w:rFonts w:ascii="Tahoma" w:eastAsia="Calibri" w:hAnsi="Tahoma" w:cs="Tahoma"/>
          <w:sz w:val="22"/>
          <w:szCs w:val="22"/>
          <w:lang w:eastAsia="en-US"/>
        </w:rPr>
      </w:pPr>
      <w:r w:rsidRPr="00BD2335">
        <w:rPr>
          <w:rFonts w:ascii="Tahoma" w:eastAsia="Calibri" w:hAnsi="Tahoma" w:cs="Tahoma"/>
          <w:sz w:val="22"/>
          <w:szCs w:val="22"/>
          <w:lang w:eastAsia="en-US"/>
        </w:rPr>
        <w:t xml:space="preserve">Art. 3º. O plano de ensino, para fins de </w:t>
      </w:r>
      <w:r w:rsidR="00347ED9">
        <w:rPr>
          <w:rFonts w:ascii="Tahoma" w:eastAsia="Calibri" w:hAnsi="Tahoma" w:cs="Tahoma"/>
          <w:sz w:val="22"/>
          <w:szCs w:val="22"/>
          <w:lang w:eastAsia="en-US"/>
        </w:rPr>
        <w:t xml:space="preserve">capacitação </w:t>
      </w:r>
      <w:r w:rsidRPr="00BD2335">
        <w:rPr>
          <w:rFonts w:ascii="Tahoma" w:eastAsia="Calibri" w:hAnsi="Tahoma" w:cs="Tahoma"/>
          <w:sz w:val="22"/>
          <w:szCs w:val="22"/>
          <w:lang w:eastAsia="en-US"/>
        </w:rPr>
        <w:t xml:space="preserve">do educador, deve ser elaborado conforme as normas e as orientações editadas pelo Conselho Nacional de Educação, Conselho Estadual de Educação e demais órgãos educacionais competentes, contendo as medidas individualizadas e coletivas para garantir o desenvolvimento acadêmico e social dos estudantes com TEA, favorecendo, </w:t>
      </w:r>
      <w:proofErr w:type="gramStart"/>
      <w:r w:rsidRPr="00BD2335">
        <w:rPr>
          <w:rFonts w:ascii="Tahoma" w:eastAsia="Calibri" w:hAnsi="Tahoma" w:cs="Tahoma"/>
          <w:sz w:val="22"/>
          <w:szCs w:val="22"/>
          <w:lang w:eastAsia="en-US"/>
        </w:rPr>
        <w:t>outrossim</w:t>
      </w:r>
      <w:proofErr w:type="gramEnd"/>
      <w:r w:rsidRPr="00BD2335">
        <w:rPr>
          <w:rFonts w:ascii="Tahoma" w:eastAsia="Calibri" w:hAnsi="Tahoma" w:cs="Tahoma"/>
          <w:sz w:val="22"/>
          <w:szCs w:val="22"/>
          <w:lang w:eastAsia="en-US"/>
        </w:rPr>
        <w:t xml:space="preserve">, o acesso, a permanência, a participação e a aprendizagem nas escolas. </w:t>
      </w:r>
    </w:p>
    <w:p w14:paraId="759791C6" w14:textId="77777777" w:rsidR="00BD2335" w:rsidRDefault="00BD2335" w:rsidP="00BD2335">
      <w:pPr>
        <w:spacing w:after="200" w:line="336" w:lineRule="auto"/>
        <w:jc w:val="both"/>
        <w:rPr>
          <w:rFonts w:ascii="Tahoma" w:eastAsia="Calibri" w:hAnsi="Tahoma" w:cs="Tahoma"/>
          <w:sz w:val="22"/>
          <w:szCs w:val="22"/>
          <w:lang w:eastAsia="en-US"/>
        </w:rPr>
      </w:pPr>
    </w:p>
    <w:p w14:paraId="14657FBC" w14:textId="6FAEE8D8" w:rsidR="00493B27" w:rsidRPr="00BD2335" w:rsidRDefault="00BD2335" w:rsidP="00BD2335">
      <w:pPr>
        <w:spacing w:after="200" w:line="336" w:lineRule="auto"/>
        <w:jc w:val="both"/>
        <w:rPr>
          <w:rFonts w:ascii="Tahoma" w:eastAsia="Calibri" w:hAnsi="Tahoma" w:cs="Tahoma"/>
          <w:sz w:val="22"/>
          <w:szCs w:val="22"/>
          <w:lang w:eastAsia="en-US"/>
        </w:rPr>
      </w:pPr>
      <w:r w:rsidRPr="00BD2335">
        <w:rPr>
          <w:rFonts w:ascii="Tahoma" w:eastAsia="Calibri" w:hAnsi="Tahoma" w:cs="Tahoma"/>
          <w:sz w:val="22"/>
          <w:szCs w:val="22"/>
          <w:lang w:eastAsia="en-US"/>
        </w:rPr>
        <w:t>Art. 4º. O profissional</w:t>
      </w:r>
      <w:r w:rsidR="00815E0B">
        <w:rPr>
          <w:rFonts w:ascii="Tahoma" w:eastAsia="Calibri" w:hAnsi="Tahoma" w:cs="Tahoma"/>
          <w:sz w:val="22"/>
          <w:szCs w:val="22"/>
          <w:lang w:eastAsia="en-US"/>
        </w:rPr>
        <w:t>/educador</w:t>
      </w:r>
      <w:r w:rsidRPr="00BD2335">
        <w:rPr>
          <w:rFonts w:ascii="Tahoma" w:eastAsia="Calibri" w:hAnsi="Tahoma" w:cs="Tahoma"/>
          <w:sz w:val="22"/>
          <w:szCs w:val="22"/>
          <w:lang w:eastAsia="en-US"/>
        </w:rPr>
        <w:t xml:space="preserve"> que assim desejar poderá optar em realizar a sua qualificação através de instituição privada de ensino, até mesmo do exterior,</w:t>
      </w:r>
      <w:r w:rsidR="00493B27">
        <w:rPr>
          <w:rFonts w:ascii="Tahoma" w:eastAsia="Calibri" w:hAnsi="Tahoma" w:cs="Tahoma"/>
          <w:sz w:val="22"/>
          <w:szCs w:val="22"/>
          <w:lang w:eastAsia="en-US"/>
        </w:rPr>
        <w:t xml:space="preserve"> que será</w:t>
      </w:r>
      <w:r w:rsidRPr="00BD2335">
        <w:rPr>
          <w:rFonts w:ascii="Tahoma" w:eastAsia="Calibri" w:hAnsi="Tahoma" w:cs="Tahoma"/>
          <w:sz w:val="22"/>
          <w:szCs w:val="22"/>
          <w:lang w:eastAsia="en-US"/>
        </w:rPr>
        <w:t xml:space="preserve"> </w:t>
      </w:r>
      <w:r w:rsidR="00493B27">
        <w:rPr>
          <w:rFonts w:ascii="Tahoma" w:eastAsia="Calibri" w:hAnsi="Tahoma" w:cs="Tahoma"/>
          <w:sz w:val="22"/>
          <w:szCs w:val="22"/>
          <w:lang w:eastAsia="en-US"/>
        </w:rPr>
        <w:t xml:space="preserve">por ele mesmo custeado, </w:t>
      </w:r>
      <w:r w:rsidRPr="00BD2335">
        <w:rPr>
          <w:rFonts w:ascii="Tahoma" w:eastAsia="Calibri" w:hAnsi="Tahoma" w:cs="Tahoma"/>
          <w:sz w:val="22"/>
          <w:szCs w:val="22"/>
          <w:lang w:eastAsia="en-US"/>
        </w:rPr>
        <w:t>desde que confira diploma reconhecido pelo MEC ou</w:t>
      </w:r>
      <w:r w:rsidR="00493B27">
        <w:rPr>
          <w:rFonts w:ascii="Tahoma" w:eastAsia="Calibri" w:hAnsi="Tahoma" w:cs="Tahoma"/>
          <w:sz w:val="22"/>
          <w:szCs w:val="22"/>
          <w:lang w:eastAsia="en-US"/>
        </w:rPr>
        <w:t>, no caso</w:t>
      </w:r>
      <w:r w:rsidRPr="00BD2335">
        <w:rPr>
          <w:rFonts w:ascii="Tahoma" w:eastAsia="Calibri" w:hAnsi="Tahoma" w:cs="Tahoma"/>
          <w:sz w:val="22"/>
          <w:szCs w:val="22"/>
          <w:lang w:eastAsia="en-US"/>
        </w:rPr>
        <w:t xml:space="preserve"> da instituição estrangeira,</w:t>
      </w:r>
      <w:r w:rsidR="00493B27">
        <w:rPr>
          <w:rFonts w:ascii="Tahoma" w:eastAsia="Calibri" w:hAnsi="Tahoma" w:cs="Tahoma"/>
          <w:sz w:val="22"/>
          <w:szCs w:val="22"/>
          <w:lang w:eastAsia="en-US"/>
        </w:rPr>
        <w:t xml:space="preserve"> </w:t>
      </w:r>
      <w:proofErr w:type="gramStart"/>
      <w:r w:rsidR="00493B27">
        <w:rPr>
          <w:rFonts w:ascii="Tahoma" w:eastAsia="Calibri" w:hAnsi="Tahoma" w:cs="Tahoma"/>
          <w:sz w:val="22"/>
          <w:szCs w:val="22"/>
          <w:lang w:eastAsia="en-US"/>
        </w:rPr>
        <w:t>o documentos</w:t>
      </w:r>
      <w:proofErr w:type="gramEnd"/>
      <w:r w:rsidRPr="00BD2335">
        <w:rPr>
          <w:rFonts w:ascii="Tahoma" w:eastAsia="Calibri" w:hAnsi="Tahoma" w:cs="Tahoma"/>
          <w:sz w:val="22"/>
          <w:szCs w:val="22"/>
          <w:lang w:eastAsia="en-US"/>
        </w:rPr>
        <w:t xml:space="preserve"> equivalente, respectivamente.</w:t>
      </w:r>
    </w:p>
    <w:p w14:paraId="602934B6" w14:textId="19CD4836" w:rsidR="00BD2335" w:rsidRPr="00BD2335" w:rsidRDefault="00493B27" w:rsidP="00BD2335">
      <w:pPr>
        <w:spacing w:after="200" w:line="336" w:lineRule="auto"/>
        <w:jc w:val="both"/>
        <w:rPr>
          <w:rFonts w:ascii="Tahoma" w:eastAsia="Calibri" w:hAnsi="Tahoma" w:cs="Tahoma"/>
          <w:sz w:val="22"/>
          <w:szCs w:val="22"/>
          <w:lang w:eastAsia="en-US"/>
        </w:rPr>
      </w:pPr>
      <w:r>
        <w:rPr>
          <w:rFonts w:ascii="Tahoma" w:eastAsia="Calibri" w:hAnsi="Tahoma" w:cs="Tahoma"/>
          <w:sz w:val="22"/>
          <w:szCs w:val="22"/>
          <w:lang w:eastAsia="en-US"/>
        </w:rPr>
        <w:t>Art. 5</w:t>
      </w:r>
      <w:r w:rsidR="00BD2335" w:rsidRPr="00BD2335">
        <w:rPr>
          <w:rFonts w:ascii="Tahoma" w:eastAsia="Calibri" w:hAnsi="Tahoma" w:cs="Tahoma"/>
          <w:sz w:val="22"/>
          <w:szCs w:val="22"/>
          <w:lang w:eastAsia="en-US"/>
        </w:rPr>
        <w:t xml:space="preserve">º Esta Lei entra em vigor </w:t>
      </w:r>
      <w:proofErr w:type="gramStart"/>
      <w:r w:rsidR="00BD2335" w:rsidRPr="00BD2335">
        <w:rPr>
          <w:rFonts w:ascii="Tahoma" w:eastAsia="Calibri" w:hAnsi="Tahoma" w:cs="Tahoma"/>
          <w:sz w:val="22"/>
          <w:szCs w:val="22"/>
          <w:lang w:eastAsia="en-US"/>
        </w:rPr>
        <w:t>após</w:t>
      </w:r>
      <w:proofErr w:type="gramEnd"/>
      <w:r w:rsidR="00BD2335" w:rsidRPr="00BD2335">
        <w:rPr>
          <w:rFonts w:ascii="Tahoma" w:eastAsia="Calibri" w:hAnsi="Tahoma" w:cs="Tahoma"/>
          <w:sz w:val="22"/>
          <w:szCs w:val="22"/>
          <w:lang w:eastAsia="en-US"/>
        </w:rPr>
        <w:t xml:space="preserve"> decorridos 90 (noventa) dias de sua publicação. </w:t>
      </w:r>
    </w:p>
    <w:p w14:paraId="27D81677" w14:textId="77777777" w:rsidR="00BD2335" w:rsidRDefault="00BD2335" w:rsidP="00BD2335">
      <w:pPr>
        <w:spacing w:after="200" w:line="336" w:lineRule="auto"/>
        <w:jc w:val="both"/>
        <w:rPr>
          <w:rFonts w:ascii="Tahoma" w:eastAsia="Calibri" w:hAnsi="Tahoma" w:cs="Tahoma"/>
          <w:sz w:val="22"/>
          <w:szCs w:val="22"/>
          <w:lang w:eastAsia="en-US"/>
        </w:rPr>
      </w:pPr>
    </w:p>
    <w:p w14:paraId="77719EEA" w14:textId="77777777" w:rsidR="00815E0B" w:rsidRPr="00BD2335" w:rsidRDefault="00815E0B" w:rsidP="00BD2335">
      <w:pPr>
        <w:spacing w:after="200" w:line="336" w:lineRule="auto"/>
        <w:jc w:val="both"/>
        <w:rPr>
          <w:rFonts w:ascii="Tahoma" w:eastAsia="Calibri" w:hAnsi="Tahoma" w:cs="Tahoma"/>
          <w:sz w:val="22"/>
          <w:szCs w:val="22"/>
          <w:lang w:eastAsia="en-US"/>
        </w:rPr>
      </w:pPr>
    </w:p>
    <w:p w14:paraId="27E29FBC" w14:textId="77777777" w:rsidR="00BD2335" w:rsidRPr="00BD2335" w:rsidRDefault="00BD2335" w:rsidP="00BD2335">
      <w:pPr>
        <w:spacing w:after="200" w:line="336" w:lineRule="auto"/>
        <w:jc w:val="center"/>
        <w:rPr>
          <w:rFonts w:ascii="Tahoma" w:eastAsia="Calibri" w:hAnsi="Tahoma" w:cs="Tahoma"/>
          <w:sz w:val="22"/>
          <w:szCs w:val="22"/>
          <w:lang w:eastAsia="en-US"/>
        </w:rPr>
      </w:pPr>
      <w:r w:rsidRPr="00BD2335">
        <w:rPr>
          <w:rFonts w:ascii="Tahoma" w:eastAsia="Calibri" w:hAnsi="Tahoma" w:cs="Tahoma"/>
          <w:sz w:val="22"/>
          <w:szCs w:val="22"/>
          <w:lang w:eastAsia="en-US"/>
        </w:rPr>
        <w:t>RAFAEL FAUSTINO JUNIOR – FAEL</w:t>
      </w:r>
    </w:p>
    <w:p w14:paraId="3C16B43B" w14:textId="77777777" w:rsidR="00BD2335" w:rsidRPr="00BD2335" w:rsidRDefault="00BD2335" w:rsidP="00BD2335">
      <w:pPr>
        <w:spacing w:after="200" w:line="336" w:lineRule="auto"/>
        <w:jc w:val="center"/>
        <w:rPr>
          <w:rFonts w:ascii="Tahoma" w:eastAsia="Calibri" w:hAnsi="Tahoma" w:cs="Tahoma"/>
          <w:sz w:val="22"/>
          <w:szCs w:val="22"/>
          <w:lang w:eastAsia="en-US"/>
        </w:rPr>
      </w:pPr>
      <w:r w:rsidRPr="00BD2335">
        <w:rPr>
          <w:rFonts w:ascii="Tahoma" w:eastAsia="Calibri" w:hAnsi="Tahoma" w:cs="Tahoma"/>
          <w:sz w:val="22"/>
          <w:szCs w:val="22"/>
          <w:lang w:eastAsia="en-US"/>
        </w:rPr>
        <w:t>Vereador - PV</w:t>
      </w:r>
    </w:p>
    <w:p w14:paraId="4E0D1978" w14:textId="77777777" w:rsidR="00BD2335" w:rsidRPr="00BD2335" w:rsidRDefault="00BD2335" w:rsidP="00BD2335">
      <w:pPr>
        <w:spacing w:after="200" w:line="336" w:lineRule="auto"/>
        <w:jc w:val="both"/>
        <w:rPr>
          <w:rFonts w:ascii="Tahoma" w:eastAsia="Calibri" w:hAnsi="Tahoma" w:cs="Tahoma"/>
          <w:sz w:val="22"/>
          <w:szCs w:val="22"/>
          <w:lang w:eastAsia="en-US"/>
        </w:rPr>
      </w:pPr>
    </w:p>
    <w:p w14:paraId="6796E8DB" w14:textId="77777777" w:rsidR="00BD2335" w:rsidRPr="00BD2335" w:rsidRDefault="00BD2335" w:rsidP="00BD2335">
      <w:pPr>
        <w:spacing w:after="200" w:line="336" w:lineRule="auto"/>
        <w:jc w:val="both"/>
        <w:rPr>
          <w:rFonts w:ascii="Tahoma" w:eastAsia="Calibri" w:hAnsi="Tahoma" w:cs="Tahoma"/>
          <w:sz w:val="22"/>
          <w:szCs w:val="22"/>
          <w:lang w:eastAsia="en-US"/>
        </w:rPr>
      </w:pPr>
    </w:p>
    <w:p w14:paraId="237018B7" w14:textId="77777777" w:rsidR="00BD2335" w:rsidRPr="00BD2335" w:rsidRDefault="00BD2335" w:rsidP="00BD2335">
      <w:pPr>
        <w:spacing w:after="200" w:line="336" w:lineRule="auto"/>
        <w:jc w:val="both"/>
        <w:rPr>
          <w:rFonts w:ascii="Tahoma" w:eastAsia="Calibri" w:hAnsi="Tahoma" w:cs="Tahoma"/>
          <w:sz w:val="22"/>
          <w:szCs w:val="22"/>
          <w:lang w:eastAsia="en-US"/>
        </w:rPr>
      </w:pPr>
    </w:p>
    <w:p w14:paraId="1E70E153" w14:textId="77777777" w:rsidR="00BD2335" w:rsidRPr="00BD2335" w:rsidRDefault="00BD2335" w:rsidP="00BD2335">
      <w:pPr>
        <w:spacing w:after="200" w:line="336" w:lineRule="auto"/>
        <w:jc w:val="both"/>
        <w:rPr>
          <w:rFonts w:ascii="Tahoma" w:eastAsia="Calibri" w:hAnsi="Tahoma" w:cs="Tahoma"/>
          <w:sz w:val="22"/>
          <w:szCs w:val="22"/>
          <w:lang w:eastAsia="en-US"/>
        </w:rPr>
      </w:pPr>
    </w:p>
    <w:p w14:paraId="6B80F382" w14:textId="77777777" w:rsidR="00BD2335" w:rsidRPr="00BD2335" w:rsidRDefault="00BD2335" w:rsidP="00BD2335">
      <w:pPr>
        <w:spacing w:after="200" w:line="336" w:lineRule="auto"/>
        <w:jc w:val="both"/>
        <w:rPr>
          <w:rFonts w:ascii="Tahoma" w:eastAsia="Calibri" w:hAnsi="Tahoma" w:cs="Tahoma"/>
          <w:sz w:val="22"/>
          <w:szCs w:val="22"/>
          <w:lang w:eastAsia="en-US"/>
        </w:rPr>
      </w:pPr>
    </w:p>
    <w:p w14:paraId="4D0AB192" w14:textId="77777777" w:rsidR="00BD2335" w:rsidRPr="00BD2335" w:rsidRDefault="00BD2335" w:rsidP="00BD2335">
      <w:pPr>
        <w:spacing w:after="200" w:line="336" w:lineRule="auto"/>
        <w:jc w:val="both"/>
        <w:rPr>
          <w:rFonts w:ascii="Tahoma" w:eastAsia="Calibri" w:hAnsi="Tahoma" w:cs="Tahoma"/>
          <w:sz w:val="22"/>
          <w:szCs w:val="22"/>
          <w:lang w:eastAsia="en-US"/>
        </w:rPr>
      </w:pPr>
    </w:p>
    <w:p w14:paraId="2E4B04BC" w14:textId="77777777" w:rsidR="00BD2335" w:rsidRPr="00BD2335" w:rsidRDefault="00BD2335" w:rsidP="00BD2335">
      <w:pPr>
        <w:spacing w:after="200" w:line="336" w:lineRule="auto"/>
        <w:jc w:val="both"/>
        <w:rPr>
          <w:rFonts w:ascii="Tahoma" w:eastAsia="Calibri" w:hAnsi="Tahoma" w:cs="Tahoma"/>
          <w:sz w:val="22"/>
          <w:szCs w:val="22"/>
          <w:lang w:eastAsia="en-US"/>
        </w:rPr>
      </w:pPr>
    </w:p>
    <w:p w14:paraId="0F0159D8" w14:textId="77777777" w:rsidR="00BD2335" w:rsidRDefault="00BD2335" w:rsidP="00BD2335">
      <w:pPr>
        <w:spacing w:after="200" w:line="336" w:lineRule="auto"/>
        <w:jc w:val="both"/>
        <w:rPr>
          <w:rFonts w:ascii="Tahoma" w:eastAsia="Calibri" w:hAnsi="Tahoma" w:cs="Tahoma"/>
          <w:sz w:val="22"/>
          <w:szCs w:val="22"/>
          <w:lang w:eastAsia="en-US"/>
        </w:rPr>
      </w:pPr>
    </w:p>
    <w:p w14:paraId="52C05E14" w14:textId="77777777" w:rsidR="00BD2335" w:rsidRDefault="00BD2335" w:rsidP="00BD2335">
      <w:pPr>
        <w:spacing w:after="200" w:line="336" w:lineRule="auto"/>
        <w:jc w:val="both"/>
        <w:rPr>
          <w:rFonts w:ascii="Tahoma" w:eastAsia="Calibri" w:hAnsi="Tahoma" w:cs="Tahoma"/>
          <w:sz w:val="22"/>
          <w:szCs w:val="22"/>
          <w:lang w:eastAsia="en-US"/>
        </w:rPr>
      </w:pPr>
    </w:p>
    <w:p w14:paraId="38E5F690" w14:textId="77777777" w:rsidR="00BD2335" w:rsidRDefault="00BD2335" w:rsidP="00BD2335">
      <w:pPr>
        <w:spacing w:after="200" w:line="336" w:lineRule="auto"/>
        <w:jc w:val="both"/>
        <w:rPr>
          <w:rFonts w:ascii="Tahoma" w:eastAsia="Calibri" w:hAnsi="Tahoma" w:cs="Tahoma"/>
          <w:sz w:val="22"/>
          <w:szCs w:val="22"/>
          <w:lang w:eastAsia="en-US"/>
        </w:rPr>
      </w:pPr>
    </w:p>
    <w:p w14:paraId="6930CF39" w14:textId="77777777" w:rsidR="00BD2335" w:rsidRDefault="00BD2335" w:rsidP="00BD2335">
      <w:pPr>
        <w:spacing w:after="200" w:line="336" w:lineRule="auto"/>
        <w:jc w:val="both"/>
        <w:rPr>
          <w:rFonts w:ascii="Tahoma" w:eastAsia="Calibri" w:hAnsi="Tahoma" w:cs="Tahoma"/>
          <w:sz w:val="22"/>
          <w:szCs w:val="22"/>
          <w:lang w:eastAsia="en-US"/>
        </w:rPr>
      </w:pPr>
    </w:p>
    <w:p w14:paraId="108AA08A" w14:textId="77777777" w:rsidR="00BD2335" w:rsidRDefault="00BD2335" w:rsidP="00BD2335">
      <w:pPr>
        <w:spacing w:after="200" w:line="336" w:lineRule="auto"/>
        <w:jc w:val="both"/>
        <w:rPr>
          <w:rFonts w:ascii="Tahoma" w:eastAsia="Calibri" w:hAnsi="Tahoma" w:cs="Tahoma"/>
          <w:sz w:val="22"/>
          <w:szCs w:val="22"/>
          <w:lang w:eastAsia="en-US"/>
        </w:rPr>
      </w:pPr>
    </w:p>
    <w:p w14:paraId="313D9803" w14:textId="77777777" w:rsidR="00BD2335" w:rsidRPr="00BD2335" w:rsidRDefault="00BD2335" w:rsidP="00BD2335">
      <w:pPr>
        <w:spacing w:after="200" w:line="336" w:lineRule="auto"/>
        <w:jc w:val="both"/>
        <w:rPr>
          <w:rFonts w:ascii="Tahoma" w:eastAsia="Calibri" w:hAnsi="Tahoma" w:cs="Tahoma"/>
          <w:sz w:val="22"/>
          <w:szCs w:val="22"/>
          <w:lang w:eastAsia="en-US"/>
        </w:rPr>
      </w:pPr>
    </w:p>
    <w:p w14:paraId="41E07A20" w14:textId="77777777" w:rsidR="00BD2335" w:rsidRPr="00BD2335" w:rsidRDefault="00BD2335" w:rsidP="00BD2335">
      <w:pPr>
        <w:spacing w:after="200" w:line="336" w:lineRule="auto"/>
        <w:jc w:val="center"/>
        <w:rPr>
          <w:rFonts w:ascii="Tahoma" w:eastAsia="Calibri" w:hAnsi="Tahoma" w:cs="Tahoma"/>
          <w:b/>
          <w:sz w:val="22"/>
          <w:szCs w:val="22"/>
          <w:u w:val="single"/>
          <w:lang w:eastAsia="en-US"/>
        </w:rPr>
      </w:pPr>
      <w:r w:rsidRPr="00BD2335">
        <w:rPr>
          <w:rFonts w:ascii="Tahoma" w:eastAsia="Calibri" w:hAnsi="Tahoma" w:cs="Tahoma"/>
          <w:b/>
          <w:sz w:val="22"/>
          <w:szCs w:val="22"/>
          <w:u w:val="single"/>
          <w:lang w:eastAsia="en-US"/>
        </w:rPr>
        <w:lastRenderedPageBreak/>
        <w:t>JUSTIFICATIVA</w:t>
      </w:r>
    </w:p>
    <w:p w14:paraId="5BBA027A" w14:textId="77777777" w:rsidR="00BD2335" w:rsidRPr="00BD2335" w:rsidRDefault="00BD2335" w:rsidP="00BD2335">
      <w:pPr>
        <w:spacing w:after="200" w:line="336" w:lineRule="auto"/>
        <w:jc w:val="both"/>
        <w:rPr>
          <w:rFonts w:ascii="Tahoma" w:eastAsia="Calibri" w:hAnsi="Tahoma" w:cs="Tahoma"/>
          <w:sz w:val="22"/>
          <w:szCs w:val="22"/>
          <w:lang w:eastAsia="en-US"/>
        </w:rPr>
      </w:pPr>
    </w:p>
    <w:p w14:paraId="09FDEEE5" w14:textId="750FADCA" w:rsidR="00BD2335" w:rsidRPr="00BD2335" w:rsidRDefault="00BD2335" w:rsidP="00BD2335">
      <w:pPr>
        <w:spacing w:after="200" w:line="336" w:lineRule="auto"/>
        <w:jc w:val="both"/>
        <w:rPr>
          <w:rFonts w:ascii="Tahoma" w:eastAsia="Calibri" w:hAnsi="Tahoma" w:cs="Tahoma"/>
          <w:sz w:val="22"/>
          <w:szCs w:val="22"/>
          <w:lang w:eastAsia="en-US"/>
        </w:rPr>
      </w:pPr>
      <w:bookmarkStart w:id="0" w:name="_GoBack"/>
      <w:r w:rsidRPr="00BD2335">
        <w:rPr>
          <w:rFonts w:ascii="Tahoma" w:eastAsia="Calibri" w:hAnsi="Tahoma" w:cs="Tahoma"/>
          <w:sz w:val="22"/>
          <w:szCs w:val="22"/>
          <w:lang w:eastAsia="en-US"/>
        </w:rPr>
        <w:t xml:space="preserve">Consoante amplamente divulgado pela Câmara dos Deputados Federais em março do ano de 2023, Através do Gabinete do </w:t>
      </w:r>
      <w:r w:rsidR="0073003C">
        <w:rPr>
          <w:rFonts w:ascii="Tahoma" w:eastAsia="Calibri" w:hAnsi="Tahoma" w:cs="Tahoma"/>
          <w:sz w:val="22"/>
          <w:szCs w:val="22"/>
          <w:lang w:eastAsia="en-US"/>
        </w:rPr>
        <w:t xml:space="preserve">Excelentíssimo Senhor </w:t>
      </w:r>
      <w:r w:rsidRPr="00BD2335">
        <w:rPr>
          <w:rFonts w:ascii="Tahoma" w:eastAsia="Calibri" w:hAnsi="Tahoma" w:cs="Tahoma"/>
          <w:sz w:val="22"/>
          <w:szCs w:val="22"/>
          <w:lang w:eastAsia="en-US"/>
        </w:rPr>
        <w:t xml:space="preserve">Deputado Federal ORLANDO SILVA, os dados sobre prevalência do transtorno do espectro autista mostraram que a condição já é mais comum do que se pensa: </w:t>
      </w:r>
      <w:proofErr w:type="gramStart"/>
      <w:r w:rsidRPr="00BD2335">
        <w:rPr>
          <w:rFonts w:ascii="Tahoma" w:eastAsia="Calibri" w:hAnsi="Tahoma" w:cs="Tahoma"/>
          <w:sz w:val="22"/>
          <w:szCs w:val="22"/>
          <w:lang w:eastAsia="en-US"/>
        </w:rPr>
        <w:t>1</w:t>
      </w:r>
      <w:proofErr w:type="gramEnd"/>
      <w:r w:rsidRPr="00BD2335">
        <w:rPr>
          <w:rFonts w:ascii="Tahoma" w:eastAsia="Calibri" w:hAnsi="Tahoma" w:cs="Tahoma"/>
          <w:sz w:val="22"/>
          <w:szCs w:val="22"/>
          <w:lang w:eastAsia="en-US"/>
        </w:rPr>
        <w:t xml:space="preserve"> a cada 36 crianças até os 8 (oito) anos de idade é diagnosticada. </w:t>
      </w:r>
    </w:p>
    <w:p w14:paraId="6DC2823C" w14:textId="77777777" w:rsidR="00BD2335" w:rsidRPr="00BD2335" w:rsidRDefault="00BD2335" w:rsidP="00BD2335">
      <w:pPr>
        <w:spacing w:after="200" w:line="336" w:lineRule="auto"/>
        <w:jc w:val="both"/>
        <w:rPr>
          <w:rFonts w:ascii="Tahoma" w:eastAsia="Calibri" w:hAnsi="Tahoma" w:cs="Tahoma"/>
          <w:sz w:val="22"/>
          <w:szCs w:val="22"/>
          <w:lang w:eastAsia="en-US"/>
        </w:rPr>
      </w:pPr>
      <w:r w:rsidRPr="00BD2335">
        <w:rPr>
          <w:rFonts w:ascii="Tahoma" w:eastAsia="Calibri" w:hAnsi="Tahoma" w:cs="Tahoma"/>
          <w:sz w:val="22"/>
          <w:szCs w:val="22"/>
          <w:lang w:eastAsia="en-US"/>
        </w:rPr>
        <w:t xml:space="preserve">Como se vê, foi uma escalada significativa, considerando que já em 2004 o número divulgado pelo Centro de Controle e Prevenção de Doenças norte Americano– CDC era de </w:t>
      </w:r>
      <w:proofErr w:type="gramStart"/>
      <w:r w:rsidRPr="00BD2335">
        <w:rPr>
          <w:rFonts w:ascii="Tahoma" w:eastAsia="Calibri" w:hAnsi="Tahoma" w:cs="Tahoma"/>
          <w:sz w:val="22"/>
          <w:szCs w:val="22"/>
          <w:lang w:eastAsia="en-US"/>
        </w:rPr>
        <w:t>1</w:t>
      </w:r>
      <w:proofErr w:type="gramEnd"/>
      <w:r w:rsidRPr="00BD2335">
        <w:rPr>
          <w:rFonts w:ascii="Tahoma" w:eastAsia="Calibri" w:hAnsi="Tahoma" w:cs="Tahoma"/>
          <w:sz w:val="22"/>
          <w:szCs w:val="22"/>
          <w:lang w:eastAsia="en-US"/>
        </w:rPr>
        <w:t xml:space="preserve"> a cada 166. Em 2012 esse número estava em </w:t>
      </w:r>
      <w:proofErr w:type="gramStart"/>
      <w:r w:rsidRPr="00BD2335">
        <w:rPr>
          <w:rFonts w:ascii="Tahoma" w:eastAsia="Calibri" w:hAnsi="Tahoma" w:cs="Tahoma"/>
          <w:sz w:val="22"/>
          <w:szCs w:val="22"/>
          <w:lang w:eastAsia="en-US"/>
        </w:rPr>
        <w:t>1</w:t>
      </w:r>
      <w:proofErr w:type="gramEnd"/>
      <w:r w:rsidRPr="00BD2335">
        <w:rPr>
          <w:rFonts w:ascii="Tahoma" w:eastAsia="Calibri" w:hAnsi="Tahoma" w:cs="Tahoma"/>
          <w:sz w:val="22"/>
          <w:szCs w:val="22"/>
          <w:lang w:eastAsia="en-US"/>
        </w:rPr>
        <w:t xml:space="preserve"> para 88. Já em 2018 passou a </w:t>
      </w:r>
      <w:proofErr w:type="gramStart"/>
      <w:r w:rsidRPr="00BD2335">
        <w:rPr>
          <w:rFonts w:ascii="Tahoma" w:eastAsia="Calibri" w:hAnsi="Tahoma" w:cs="Tahoma"/>
          <w:sz w:val="22"/>
          <w:szCs w:val="22"/>
          <w:lang w:eastAsia="en-US"/>
        </w:rPr>
        <w:t>1</w:t>
      </w:r>
      <w:proofErr w:type="gramEnd"/>
      <w:r w:rsidRPr="00BD2335">
        <w:rPr>
          <w:rFonts w:ascii="Tahoma" w:eastAsia="Calibri" w:hAnsi="Tahoma" w:cs="Tahoma"/>
          <w:sz w:val="22"/>
          <w:szCs w:val="22"/>
          <w:lang w:eastAsia="en-US"/>
        </w:rPr>
        <w:t xml:space="preserve"> em 59 e em 2020 chegou em 1 a cada 54. Em comparação com os EUA que há 20 anos coleta informações sobre o tema, o Brasil somente neste último censo de 2020 passou a incluir perguntas sobre o transtorno do espectro autista no Censo da população brasileira realizado pelo Instituto Brasileiro de Geografia e Estatística (IBGE). No ano de 2024 os dados do censo ainda não foram publicados na sua íntegra e por isso são utilizados aqui como referências os dados do CDC e da Organização das Nações Unidas – ONU. </w:t>
      </w:r>
    </w:p>
    <w:p w14:paraId="5A0B16BB" w14:textId="77777777" w:rsidR="00BD2335" w:rsidRPr="00BD2335" w:rsidRDefault="00BD2335" w:rsidP="00BD2335">
      <w:pPr>
        <w:spacing w:after="200" w:line="336" w:lineRule="auto"/>
        <w:jc w:val="both"/>
        <w:rPr>
          <w:rFonts w:ascii="Tahoma" w:eastAsia="Calibri" w:hAnsi="Tahoma" w:cs="Tahoma"/>
          <w:sz w:val="22"/>
          <w:szCs w:val="22"/>
          <w:lang w:eastAsia="en-US"/>
        </w:rPr>
      </w:pPr>
      <w:r w:rsidRPr="00BD2335">
        <w:rPr>
          <w:rFonts w:ascii="Tahoma" w:eastAsia="Calibri" w:hAnsi="Tahoma" w:cs="Tahoma"/>
          <w:sz w:val="22"/>
          <w:szCs w:val="22"/>
          <w:lang w:eastAsia="en-US"/>
        </w:rPr>
        <w:t xml:space="preserve">Assim, estima-se então que o Brasil tenha 5,95 milhões de pessoas com transtorno. Ademais, dados do Censo Escolar de 2024 indicam que em 2017 </w:t>
      </w:r>
      <w:proofErr w:type="gramStart"/>
      <w:r w:rsidRPr="00BD2335">
        <w:rPr>
          <w:rFonts w:ascii="Tahoma" w:eastAsia="Calibri" w:hAnsi="Tahoma" w:cs="Tahoma"/>
          <w:sz w:val="22"/>
          <w:szCs w:val="22"/>
          <w:lang w:eastAsia="en-US"/>
        </w:rPr>
        <w:t>haviam</w:t>
      </w:r>
      <w:proofErr w:type="gramEnd"/>
      <w:r w:rsidRPr="00BD2335">
        <w:rPr>
          <w:rFonts w:ascii="Tahoma" w:eastAsia="Calibri" w:hAnsi="Tahoma" w:cs="Tahoma"/>
          <w:sz w:val="22"/>
          <w:szCs w:val="22"/>
          <w:lang w:eastAsia="en-US"/>
        </w:rPr>
        <w:t xml:space="preserve"> em média 100 mil matrículas de estudantes com autismo nas redes privadas e públicas. Em 2023 esse número chega a mais de 607 mil matrículas</w:t>
      </w:r>
      <w:proofErr w:type="gramStart"/>
      <w:r w:rsidRPr="00BD2335">
        <w:rPr>
          <w:rFonts w:ascii="Tahoma" w:eastAsia="Calibri" w:hAnsi="Tahoma" w:cs="Tahoma"/>
          <w:sz w:val="22"/>
          <w:szCs w:val="22"/>
          <w:lang w:eastAsia="en-US"/>
        </w:rPr>
        <w:t>..</w:t>
      </w:r>
      <w:proofErr w:type="gramEnd"/>
      <w:r w:rsidRPr="00BD2335">
        <w:rPr>
          <w:rFonts w:ascii="Tahoma" w:eastAsia="Calibri" w:hAnsi="Tahoma" w:cs="Tahoma"/>
          <w:sz w:val="22"/>
          <w:szCs w:val="22"/>
          <w:lang w:eastAsia="en-US"/>
        </w:rPr>
        <w:t xml:space="preserve"> Neste contexto, a garantia do direito humano à educação, à </w:t>
      </w:r>
      <w:proofErr w:type="spellStart"/>
      <w:r w:rsidRPr="00BD2335">
        <w:rPr>
          <w:rFonts w:ascii="Tahoma" w:eastAsia="Calibri" w:hAnsi="Tahoma" w:cs="Tahoma"/>
          <w:sz w:val="22"/>
          <w:szCs w:val="22"/>
          <w:lang w:eastAsia="en-US"/>
        </w:rPr>
        <w:t>cutura</w:t>
      </w:r>
      <w:proofErr w:type="spellEnd"/>
      <w:r w:rsidRPr="00BD2335">
        <w:rPr>
          <w:rFonts w:ascii="Tahoma" w:eastAsia="Calibri" w:hAnsi="Tahoma" w:cs="Tahoma"/>
          <w:sz w:val="22"/>
          <w:szCs w:val="22"/>
          <w:lang w:eastAsia="en-US"/>
        </w:rPr>
        <w:t xml:space="preserve"> e ao desporto, dentre outras garantias, de estudantes com transtorno do espectro autista se apresenta como direito fundamental e interesse público nacional na construção de igualdade de oportunidades para todos, segundo suas necessidades, habilidade e potencialidades. </w:t>
      </w:r>
    </w:p>
    <w:p w14:paraId="71A9110D" w14:textId="77777777" w:rsidR="0073003C" w:rsidRDefault="0073003C" w:rsidP="00BD2335">
      <w:pPr>
        <w:spacing w:after="200" w:line="336" w:lineRule="auto"/>
        <w:jc w:val="both"/>
        <w:rPr>
          <w:rFonts w:ascii="Tahoma" w:eastAsia="Calibri" w:hAnsi="Tahoma" w:cs="Tahoma"/>
          <w:sz w:val="22"/>
          <w:szCs w:val="22"/>
          <w:lang w:eastAsia="en-US"/>
        </w:rPr>
      </w:pPr>
    </w:p>
    <w:p w14:paraId="7673E32A" w14:textId="77777777" w:rsidR="00BD2335" w:rsidRPr="00BD2335" w:rsidRDefault="00BD2335" w:rsidP="00BD2335">
      <w:pPr>
        <w:spacing w:after="200" w:line="336" w:lineRule="auto"/>
        <w:jc w:val="both"/>
        <w:rPr>
          <w:rFonts w:ascii="Tahoma" w:eastAsia="Calibri" w:hAnsi="Tahoma" w:cs="Tahoma"/>
          <w:sz w:val="22"/>
          <w:szCs w:val="22"/>
          <w:lang w:eastAsia="en-US"/>
        </w:rPr>
      </w:pPr>
      <w:r w:rsidRPr="00BD2335">
        <w:rPr>
          <w:rFonts w:ascii="Tahoma" w:eastAsia="Calibri" w:hAnsi="Tahoma" w:cs="Tahoma"/>
          <w:sz w:val="22"/>
          <w:szCs w:val="22"/>
          <w:lang w:eastAsia="en-US"/>
        </w:rPr>
        <w:t xml:space="preserve">Com efeito, o projeto de lei que se versa tem como foco adequar a qualificação dos profissionais desde Município ao Plano de Educação Individualizado e a Formação de Professores, de modo que seu intuito legislativo é contribuir com a construção e reafirmação de uma educação inclusiva. Dessa forma, partindo de uma perspectiva de um direito habilitante, pautado na tríade “Direito Humano à educação”, “Direitos </w:t>
      </w:r>
      <w:r w:rsidRPr="00BD2335">
        <w:rPr>
          <w:rFonts w:ascii="Tahoma" w:eastAsia="Calibri" w:hAnsi="Tahoma" w:cs="Tahoma"/>
          <w:sz w:val="22"/>
          <w:szCs w:val="22"/>
          <w:lang w:eastAsia="en-US"/>
        </w:rPr>
        <w:lastRenderedPageBreak/>
        <w:t xml:space="preserve">Humanos na Educação” e “Educação em Direitos Humanos”, este Projeto de Lei considerou três pontos básicos: 1) os documentos legais existentes sobre o tema; 2) o conhecimento científico para a formulação de propostas; e 3) a construção do processo educacional como instrumento fundamental de alcance de uma sociedade mais equânime e inclusiva para todos. </w:t>
      </w:r>
    </w:p>
    <w:p w14:paraId="56DEBD4A" w14:textId="77777777" w:rsidR="00BD2335" w:rsidRPr="00BD2335" w:rsidRDefault="00BD2335" w:rsidP="00BD2335">
      <w:pPr>
        <w:spacing w:after="200" w:line="336" w:lineRule="auto"/>
        <w:jc w:val="both"/>
        <w:rPr>
          <w:rFonts w:ascii="Tahoma" w:eastAsia="Calibri" w:hAnsi="Tahoma" w:cs="Tahoma"/>
          <w:sz w:val="22"/>
          <w:szCs w:val="22"/>
          <w:lang w:eastAsia="en-US"/>
        </w:rPr>
      </w:pPr>
      <w:r w:rsidRPr="00BD2335">
        <w:rPr>
          <w:rFonts w:ascii="Tahoma" w:eastAsia="Calibri" w:hAnsi="Tahoma" w:cs="Tahoma"/>
          <w:sz w:val="22"/>
          <w:szCs w:val="22"/>
          <w:lang w:eastAsia="en-US"/>
        </w:rPr>
        <w:t xml:space="preserve">Daí porque esta proposta de lei aborda a qualificação educacional voltado a estudantes com transtorno do espectro autista, tendo como referência o desenho universal e as adaptações razoáveis com foco nas garantias previstas na Convenção sobre os Diretos das Pessoas com Deficiência e o Decreto nº 6.949/2009 que traz a esta convenção força de norma constitucional. </w:t>
      </w:r>
    </w:p>
    <w:p w14:paraId="3A10A377" w14:textId="668332B1" w:rsidR="00BD2335" w:rsidRPr="00BD2335" w:rsidRDefault="00493B27" w:rsidP="00BD2335">
      <w:pPr>
        <w:spacing w:after="200" w:line="336" w:lineRule="auto"/>
        <w:jc w:val="both"/>
        <w:rPr>
          <w:rFonts w:ascii="Tahoma" w:eastAsia="Calibri" w:hAnsi="Tahoma" w:cs="Tahoma"/>
          <w:sz w:val="22"/>
          <w:szCs w:val="22"/>
          <w:lang w:eastAsia="en-US"/>
        </w:rPr>
      </w:pPr>
      <w:r>
        <w:rPr>
          <w:rFonts w:ascii="Tahoma" w:eastAsia="Calibri" w:hAnsi="Tahoma" w:cs="Tahoma"/>
          <w:sz w:val="22"/>
          <w:szCs w:val="22"/>
          <w:lang w:eastAsia="en-US"/>
        </w:rPr>
        <w:t>Neste contexto a</w:t>
      </w:r>
      <w:r w:rsidR="00BD2335" w:rsidRPr="00BD2335">
        <w:rPr>
          <w:rFonts w:ascii="Tahoma" w:eastAsia="Calibri" w:hAnsi="Tahoma" w:cs="Tahoma"/>
          <w:sz w:val="22"/>
          <w:szCs w:val="22"/>
          <w:lang w:eastAsia="en-US"/>
        </w:rPr>
        <w:t xml:space="preserve"> referida </w:t>
      </w:r>
      <w:r w:rsidRPr="00BD2335">
        <w:rPr>
          <w:rFonts w:ascii="Tahoma" w:eastAsia="Calibri" w:hAnsi="Tahoma" w:cs="Tahoma"/>
          <w:sz w:val="22"/>
          <w:szCs w:val="22"/>
          <w:lang w:eastAsia="en-US"/>
        </w:rPr>
        <w:t>qualificação</w:t>
      </w:r>
      <w:r w:rsidR="00BD2335" w:rsidRPr="00BD2335">
        <w:rPr>
          <w:rFonts w:ascii="Tahoma" w:eastAsia="Calibri" w:hAnsi="Tahoma" w:cs="Tahoma"/>
          <w:sz w:val="22"/>
          <w:szCs w:val="22"/>
          <w:lang w:eastAsia="en-US"/>
        </w:rPr>
        <w:t xml:space="preserve"> se apresenta como instrumento significativo de inclusão, especialmente de estudante com transtorno do espectro autista cuja vulnerabilidade tem sido considerada como força motriz nas proposituras de legislações protetivas. Essa questão também é apontada pela Organização das Nações Unidas, através do Comentário Geral nº 4 de 2016, elaborado pelo Comitê de monitoramento da Convenção sobre os Direitos da Pessoa com Deficiência que indica o maior risco de exclusão da educação de grupos específicos</w:t>
      </w:r>
      <w:proofErr w:type="gramStart"/>
      <w:r w:rsidR="00BD2335" w:rsidRPr="00BD2335">
        <w:rPr>
          <w:rFonts w:ascii="Tahoma" w:eastAsia="Calibri" w:hAnsi="Tahoma" w:cs="Tahoma"/>
          <w:sz w:val="22"/>
          <w:szCs w:val="22"/>
          <w:lang w:eastAsia="en-US"/>
        </w:rPr>
        <w:t xml:space="preserve"> a saber</w:t>
      </w:r>
      <w:proofErr w:type="gramEnd"/>
      <w:r w:rsidR="00BD2335" w:rsidRPr="00BD2335">
        <w:rPr>
          <w:rFonts w:ascii="Tahoma" w:eastAsia="Calibri" w:hAnsi="Tahoma" w:cs="Tahoma"/>
          <w:sz w:val="22"/>
          <w:szCs w:val="22"/>
          <w:lang w:eastAsia="en-US"/>
        </w:rPr>
        <w:t xml:space="preserve">: </w:t>
      </w:r>
    </w:p>
    <w:p w14:paraId="2B5BCF11" w14:textId="77777777" w:rsidR="00BD2335" w:rsidRPr="00BD2335" w:rsidRDefault="00BD2335" w:rsidP="00BD2335">
      <w:pPr>
        <w:spacing w:after="200" w:line="336" w:lineRule="auto"/>
        <w:ind w:left="1410"/>
        <w:jc w:val="both"/>
        <w:rPr>
          <w:rFonts w:ascii="Tahoma" w:eastAsia="Calibri" w:hAnsi="Tahoma" w:cs="Tahoma"/>
          <w:i/>
          <w:sz w:val="22"/>
          <w:szCs w:val="22"/>
          <w:lang w:eastAsia="en-US"/>
        </w:rPr>
      </w:pPr>
      <w:r w:rsidRPr="00BD2335">
        <w:rPr>
          <w:rFonts w:ascii="Tahoma" w:eastAsia="Calibri" w:hAnsi="Tahoma" w:cs="Tahoma"/>
          <w:i/>
          <w:sz w:val="22"/>
          <w:szCs w:val="22"/>
          <w:lang w:eastAsia="en-US"/>
        </w:rPr>
        <w:t xml:space="preserve">“O Comitê reconhece que alguns grupos correm mais risco de exclusão da educação do que outros, tais como: pessoas com deficiência intelectual ou múltiplas deficiências, pessoas com </w:t>
      </w:r>
      <w:proofErr w:type="spellStart"/>
      <w:r w:rsidRPr="00BD2335">
        <w:rPr>
          <w:rFonts w:ascii="Tahoma" w:eastAsia="Calibri" w:hAnsi="Tahoma" w:cs="Tahoma"/>
          <w:i/>
          <w:sz w:val="22"/>
          <w:szCs w:val="22"/>
          <w:lang w:eastAsia="en-US"/>
        </w:rPr>
        <w:t>surdocegueira</w:t>
      </w:r>
      <w:proofErr w:type="spellEnd"/>
      <w:r w:rsidRPr="00BD2335">
        <w:rPr>
          <w:rFonts w:ascii="Tahoma" w:eastAsia="Calibri" w:hAnsi="Tahoma" w:cs="Tahoma"/>
          <w:i/>
          <w:sz w:val="22"/>
          <w:szCs w:val="22"/>
          <w:lang w:eastAsia="en-US"/>
        </w:rPr>
        <w:t xml:space="preserve">, pessoas com autismo ou pessoas com deficiência em situação de emergência humanitária”. </w:t>
      </w:r>
    </w:p>
    <w:p w14:paraId="7CD47E92" w14:textId="737129AA" w:rsidR="00BD2335" w:rsidRPr="00BD2335" w:rsidRDefault="00BD2335" w:rsidP="00BD2335">
      <w:pPr>
        <w:spacing w:after="200" w:line="336" w:lineRule="auto"/>
        <w:jc w:val="both"/>
        <w:rPr>
          <w:rFonts w:ascii="Tahoma" w:eastAsia="Calibri" w:hAnsi="Tahoma" w:cs="Tahoma"/>
          <w:sz w:val="22"/>
          <w:szCs w:val="22"/>
          <w:lang w:eastAsia="en-US"/>
        </w:rPr>
      </w:pPr>
      <w:r w:rsidRPr="00BD2335">
        <w:rPr>
          <w:rFonts w:ascii="Tahoma" w:eastAsia="Calibri" w:hAnsi="Tahoma" w:cs="Tahoma"/>
          <w:sz w:val="22"/>
          <w:szCs w:val="22"/>
          <w:lang w:eastAsia="en-US"/>
        </w:rPr>
        <w:t xml:space="preserve">E no mesmo sentido avança: Em relação ao artigo 24, parágrafo 3, muitos Estados Partes estão falhando não estão fornecendo condições adequadas às pessoas com deficiência, particularmente as pessoas no espectro do autismo, com deficiências de comunicação e deficiências sensoriais, para que elas adquiram habilidades de vida diária, de linguagem e sociais essenciais para a participação na educação e em suas comunidades. </w:t>
      </w:r>
    </w:p>
    <w:p w14:paraId="7F089BB3" w14:textId="77777777" w:rsidR="00BD2335" w:rsidRPr="00BD2335" w:rsidRDefault="00BD2335" w:rsidP="00BD2335">
      <w:pPr>
        <w:spacing w:after="200" w:line="336" w:lineRule="auto"/>
        <w:jc w:val="both"/>
        <w:rPr>
          <w:rFonts w:ascii="Tahoma" w:eastAsia="Calibri" w:hAnsi="Tahoma" w:cs="Tahoma"/>
          <w:sz w:val="22"/>
          <w:szCs w:val="22"/>
          <w:lang w:eastAsia="en-US"/>
        </w:rPr>
      </w:pPr>
      <w:r w:rsidRPr="00BD2335">
        <w:rPr>
          <w:rFonts w:ascii="Tahoma" w:eastAsia="Calibri" w:hAnsi="Tahoma" w:cs="Tahoma"/>
          <w:sz w:val="22"/>
          <w:szCs w:val="22"/>
          <w:lang w:eastAsia="en-US"/>
        </w:rPr>
        <w:t>Do mesmo modo, este projeto de lei considera ainda evidências colacionadas pela Diretoria de Altos Estudos da Escola Nacional de Administração Pública (</w:t>
      </w:r>
      <w:proofErr w:type="spellStart"/>
      <w:r w:rsidRPr="00BD2335">
        <w:rPr>
          <w:rFonts w:ascii="Tahoma" w:eastAsia="Calibri" w:hAnsi="Tahoma" w:cs="Tahoma"/>
          <w:sz w:val="22"/>
          <w:szCs w:val="22"/>
          <w:lang w:eastAsia="en-US"/>
        </w:rPr>
        <w:t>Enap</w:t>
      </w:r>
      <w:proofErr w:type="spellEnd"/>
      <w:r w:rsidRPr="00BD2335">
        <w:rPr>
          <w:rFonts w:ascii="Tahoma" w:eastAsia="Calibri" w:hAnsi="Tahoma" w:cs="Tahoma"/>
          <w:sz w:val="22"/>
          <w:szCs w:val="22"/>
          <w:lang w:eastAsia="en-US"/>
        </w:rPr>
        <w:t xml:space="preserve">) que avaliaram se o avanço de legislações voltadas a ampliar a educação inclusiva contribuiu </w:t>
      </w:r>
      <w:r w:rsidRPr="00BD2335">
        <w:rPr>
          <w:rFonts w:ascii="Tahoma" w:eastAsia="Calibri" w:hAnsi="Tahoma" w:cs="Tahoma"/>
          <w:sz w:val="22"/>
          <w:szCs w:val="22"/>
          <w:lang w:eastAsia="en-US"/>
        </w:rPr>
        <w:lastRenderedPageBreak/>
        <w:t xml:space="preserve">para aumentar a participação de crianças com deficiência em escolas de nível primário, tendo um resultado positivo quanto a maiores chances de crianças com deficiência estarem frequentando a escola nos períodos em que </w:t>
      </w:r>
      <w:proofErr w:type="spellStart"/>
      <w:r w:rsidRPr="00BD2335">
        <w:rPr>
          <w:rFonts w:ascii="Tahoma" w:eastAsia="Calibri" w:hAnsi="Tahoma" w:cs="Tahoma"/>
          <w:sz w:val="22"/>
          <w:szCs w:val="22"/>
          <w:lang w:eastAsia="en-US"/>
        </w:rPr>
        <w:t>legislaões</w:t>
      </w:r>
      <w:proofErr w:type="spellEnd"/>
      <w:r w:rsidRPr="00BD2335">
        <w:rPr>
          <w:rFonts w:ascii="Tahoma" w:eastAsia="Calibri" w:hAnsi="Tahoma" w:cs="Tahoma"/>
          <w:sz w:val="22"/>
          <w:szCs w:val="22"/>
          <w:lang w:eastAsia="en-US"/>
        </w:rPr>
        <w:t xml:space="preserve"> de educação inclusiva foram aprovadas. (Evidências Express, 2021). </w:t>
      </w:r>
    </w:p>
    <w:p w14:paraId="084A1B31" w14:textId="77777777" w:rsidR="00BD2335" w:rsidRPr="00BD2335" w:rsidRDefault="00BD2335" w:rsidP="00BD2335">
      <w:pPr>
        <w:spacing w:after="200" w:line="336" w:lineRule="auto"/>
        <w:jc w:val="both"/>
        <w:rPr>
          <w:rFonts w:ascii="Tahoma" w:eastAsia="Calibri" w:hAnsi="Tahoma" w:cs="Tahoma"/>
          <w:sz w:val="22"/>
          <w:szCs w:val="22"/>
          <w:lang w:eastAsia="en-US"/>
        </w:rPr>
      </w:pPr>
      <w:r w:rsidRPr="00BD2335">
        <w:rPr>
          <w:rFonts w:ascii="Tahoma" w:eastAsia="Calibri" w:hAnsi="Tahoma" w:cs="Tahoma"/>
          <w:sz w:val="22"/>
          <w:szCs w:val="22"/>
          <w:lang w:eastAsia="en-US"/>
        </w:rPr>
        <w:t xml:space="preserve">A partir da alteração da Lei 12 764/2012, também conhecida como Lei Berenice </w:t>
      </w:r>
      <w:proofErr w:type="spellStart"/>
      <w:r w:rsidRPr="00BD2335">
        <w:rPr>
          <w:rFonts w:ascii="Tahoma" w:eastAsia="Calibri" w:hAnsi="Tahoma" w:cs="Tahoma"/>
          <w:sz w:val="22"/>
          <w:szCs w:val="22"/>
          <w:lang w:eastAsia="en-US"/>
        </w:rPr>
        <w:t>Piana</w:t>
      </w:r>
      <w:proofErr w:type="spellEnd"/>
      <w:r w:rsidRPr="00BD2335">
        <w:rPr>
          <w:rFonts w:ascii="Tahoma" w:eastAsia="Calibri" w:hAnsi="Tahoma" w:cs="Tahoma"/>
          <w:sz w:val="22"/>
          <w:szCs w:val="22"/>
          <w:lang w:eastAsia="en-US"/>
        </w:rPr>
        <w:t xml:space="preserve">, que institui a Política Nacional de Proteção dos Direitos da Pessoa com Transtorno do Espectro Autista, objetiva-se garantir o Plano de Educação Individualizado. Sua previsão enquanto instrumento de inclusão encontra fundamento na garantia de adoção de medidas individualizadas e coletivas, em ambientes que maximizem o desenvolvimento acadêmico e social dos estudantes com deficiência, favorecendo o acesso, a permanência, a participação e a aprendizagem em instituições de ensino, conforme previsto no artigo 28, inciso V, e no planejamento de estudo de caso, previsto no artigo 28, inciso VII, da Lei nº 13.146/2015. </w:t>
      </w:r>
    </w:p>
    <w:p w14:paraId="1E01CF57" w14:textId="77777777" w:rsidR="00BD2335" w:rsidRPr="00BD2335" w:rsidRDefault="00BD2335" w:rsidP="00BD2335">
      <w:pPr>
        <w:spacing w:after="200" w:line="336" w:lineRule="auto"/>
        <w:jc w:val="both"/>
        <w:rPr>
          <w:rFonts w:ascii="Tahoma" w:eastAsia="Calibri" w:hAnsi="Tahoma" w:cs="Tahoma"/>
          <w:sz w:val="22"/>
          <w:szCs w:val="22"/>
          <w:lang w:eastAsia="en-US"/>
        </w:rPr>
      </w:pPr>
      <w:r w:rsidRPr="00BD2335">
        <w:rPr>
          <w:rFonts w:ascii="Tahoma" w:eastAsia="Calibri" w:hAnsi="Tahoma" w:cs="Tahoma"/>
          <w:sz w:val="22"/>
          <w:szCs w:val="22"/>
          <w:lang w:eastAsia="en-US"/>
        </w:rPr>
        <w:t>Além disso, o parecer (comentário geral nº 4) de 2016, elaborado pelo Comitê de Monitoramento da Convenção sobre os Direitos da Pessoa com Deficiência da Organização das Nações Unidas – ONU prevê o Plano de Educação Individualizado como instrumento para efetivar as adaptações razoáveis enquanto direito das pessoas com deficiência.</w:t>
      </w:r>
    </w:p>
    <w:p w14:paraId="467BFA59" w14:textId="77777777" w:rsidR="00BD2335" w:rsidRPr="00BD2335" w:rsidRDefault="00BD2335" w:rsidP="00BD2335">
      <w:pPr>
        <w:spacing w:after="200" w:line="336" w:lineRule="auto"/>
        <w:jc w:val="both"/>
        <w:rPr>
          <w:rFonts w:ascii="Tahoma" w:eastAsia="Calibri" w:hAnsi="Tahoma" w:cs="Tahoma"/>
          <w:sz w:val="22"/>
          <w:szCs w:val="22"/>
          <w:lang w:eastAsia="en-US"/>
        </w:rPr>
      </w:pPr>
      <w:r w:rsidRPr="00BD2335">
        <w:rPr>
          <w:rFonts w:ascii="Tahoma" w:eastAsia="Calibri" w:hAnsi="Tahoma" w:cs="Tahoma"/>
          <w:sz w:val="22"/>
          <w:szCs w:val="22"/>
          <w:lang w:eastAsia="en-US"/>
        </w:rPr>
        <w:t xml:space="preserve">O suporte também pode ser ofertado através de um assistente de aprendizagem qualificado, compartilhado ou individual, dependendo das necessidades do estudante. </w:t>
      </w:r>
    </w:p>
    <w:p w14:paraId="720C6E76" w14:textId="7E0016EE" w:rsidR="00BD2335" w:rsidRDefault="00BD2335" w:rsidP="00BD2335">
      <w:pPr>
        <w:spacing w:after="200" w:line="336" w:lineRule="auto"/>
        <w:jc w:val="both"/>
        <w:rPr>
          <w:rFonts w:ascii="Tahoma" w:eastAsia="Calibri" w:hAnsi="Tahoma" w:cs="Tahoma"/>
          <w:sz w:val="22"/>
          <w:szCs w:val="22"/>
          <w:lang w:eastAsia="en-US"/>
        </w:rPr>
      </w:pPr>
      <w:r w:rsidRPr="00BD2335">
        <w:rPr>
          <w:rFonts w:ascii="Tahoma" w:eastAsia="Calibri" w:hAnsi="Tahoma" w:cs="Tahoma"/>
          <w:sz w:val="22"/>
          <w:szCs w:val="22"/>
          <w:lang w:eastAsia="en-US"/>
        </w:rPr>
        <w:t xml:space="preserve">Por fim, e de modo não menos significativo, este projeto aborda a importância da formação do professor de regência em sala de aula, do professor do atendimento educacional especializado e do acompanhante especializado. Particularmente, o tema tem desafiado toda a gestão pública e as instituições de ensino e formação a construírem novas lógicas de aprendizagem os aspectos apresentados visam contribuir com esta trajetória. </w:t>
      </w:r>
    </w:p>
    <w:p w14:paraId="39BD3962" w14:textId="77777777" w:rsidR="00BD2335" w:rsidRPr="00BD2335" w:rsidRDefault="00BD2335" w:rsidP="00BD2335">
      <w:pPr>
        <w:spacing w:after="200" w:line="336" w:lineRule="auto"/>
        <w:jc w:val="both"/>
        <w:rPr>
          <w:rFonts w:ascii="Tahoma" w:eastAsia="Calibri" w:hAnsi="Tahoma" w:cs="Tahoma"/>
          <w:sz w:val="22"/>
          <w:szCs w:val="22"/>
          <w:lang w:eastAsia="en-US"/>
        </w:rPr>
      </w:pPr>
      <w:r w:rsidRPr="00BD2335">
        <w:rPr>
          <w:rFonts w:ascii="Tahoma" w:eastAsia="Calibri" w:hAnsi="Tahoma" w:cs="Tahoma"/>
          <w:sz w:val="22"/>
          <w:szCs w:val="22"/>
          <w:lang w:eastAsia="en-US"/>
        </w:rPr>
        <w:t xml:space="preserve">Portanto, esta proposta de legislação contempla a melhor instrumentalização de direitos já consubstanciados. O projeto de lei atende ainda a recomendação </w:t>
      </w:r>
      <w:proofErr w:type="gramStart"/>
      <w:r w:rsidRPr="00BD2335">
        <w:rPr>
          <w:rFonts w:ascii="Tahoma" w:eastAsia="Calibri" w:hAnsi="Tahoma" w:cs="Tahoma"/>
          <w:sz w:val="22"/>
          <w:szCs w:val="22"/>
          <w:lang w:eastAsia="en-US"/>
        </w:rPr>
        <w:t>da Organizações</w:t>
      </w:r>
      <w:proofErr w:type="gramEnd"/>
      <w:r w:rsidRPr="00BD2335">
        <w:rPr>
          <w:rFonts w:ascii="Tahoma" w:eastAsia="Calibri" w:hAnsi="Tahoma" w:cs="Tahoma"/>
          <w:sz w:val="22"/>
          <w:szCs w:val="22"/>
          <w:lang w:eastAsia="en-US"/>
        </w:rPr>
        <w:t xml:space="preserve"> das Nações Unidas sobre a importância de um olhar específico no campo educacional a grupos com maior risco de exclusão da educação, dentre eles os estudantes com autismo.</w:t>
      </w:r>
    </w:p>
    <w:p w14:paraId="1A4F0466" w14:textId="77777777" w:rsidR="00BD2335" w:rsidRPr="00BD2335" w:rsidRDefault="00BD2335" w:rsidP="00BD2335">
      <w:pPr>
        <w:spacing w:after="200" w:line="336" w:lineRule="auto"/>
        <w:jc w:val="both"/>
        <w:rPr>
          <w:rFonts w:ascii="Tahoma" w:eastAsia="Calibri" w:hAnsi="Tahoma" w:cs="Tahoma"/>
          <w:sz w:val="22"/>
          <w:szCs w:val="22"/>
          <w:lang w:eastAsia="en-US"/>
        </w:rPr>
      </w:pPr>
    </w:p>
    <w:p w14:paraId="646872A0" w14:textId="77777777" w:rsidR="00BD2335" w:rsidRPr="00BD2335" w:rsidRDefault="00BD2335" w:rsidP="00BD2335">
      <w:pPr>
        <w:spacing w:after="200" w:line="336" w:lineRule="auto"/>
        <w:jc w:val="both"/>
        <w:rPr>
          <w:rFonts w:ascii="Tahoma" w:eastAsia="Calibri" w:hAnsi="Tahoma" w:cs="Tahoma"/>
          <w:sz w:val="22"/>
          <w:szCs w:val="22"/>
          <w:lang w:eastAsia="en-US"/>
        </w:rPr>
      </w:pPr>
      <w:r w:rsidRPr="00BD2335">
        <w:rPr>
          <w:rFonts w:ascii="Tahoma" w:eastAsia="Calibri" w:hAnsi="Tahoma" w:cs="Tahoma"/>
          <w:sz w:val="22"/>
          <w:szCs w:val="22"/>
          <w:lang w:eastAsia="en-US"/>
        </w:rPr>
        <w:t>LEGISLAÇÃO CITADA:</w:t>
      </w:r>
    </w:p>
    <w:p w14:paraId="49B2488E" w14:textId="33F9B4A9" w:rsidR="00BD2335" w:rsidRDefault="00BD2335" w:rsidP="0073003C">
      <w:pPr>
        <w:spacing w:after="200" w:line="336" w:lineRule="auto"/>
        <w:jc w:val="both"/>
        <w:rPr>
          <w:rFonts w:ascii="Tahoma" w:eastAsia="Garamond" w:hAnsi="Tahoma" w:cs="Tahoma"/>
          <w:bCs/>
          <w:sz w:val="22"/>
          <w:szCs w:val="22"/>
        </w:rPr>
      </w:pPr>
      <w:r w:rsidRPr="00BD2335">
        <w:rPr>
          <w:rFonts w:ascii="Tahoma" w:eastAsia="Calibri" w:hAnsi="Tahoma" w:cs="Tahoma"/>
          <w:sz w:val="22"/>
          <w:szCs w:val="22"/>
          <w:lang w:eastAsia="en-US"/>
        </w:rPr>
        <w:t xml:space="preserve">LEI Nº 12.764, DE 27 DE DEZEMBRO DE 2012 </w:t>
      </w:r>
      <w:proofErr w:type="gramStart"/>
      <w:r w:rsidRPr="00BD2335">
        <w:rPr>
          <w:rFonts w:ascii="Tahoma" w:eastAsia="Calibri" w:hAnsi="Tahoma" w:cs="Tahoma"/>
          <w:sz w:val="22"/>
          <w:szCs w:val="22"/>
          <w:lang w:eastAsia="en-US"/>
        </w:rPr>
        <w:t>https</w:t>
      </w:r>
      <w:proofErr w:type="gramEnd"/>
      <w:r w:rsidRPr="00BD2335">
        <w:rPr>
          <w:rFonts w:ascii="Tahoma" w:eastAsia="Calibri" w:hAnsi="Tahoma" w:cs="Tahoma"/>
          <w:sz w:val="22"/>
          <w:szCs w:val="22"/>
          <w:lang w:eastAsia="en-US"/>
        </w:rPr>
        <w:t>://normas.leg.br/?</w:t>
      </w:r>
      <w:proofErr w:type="gramStart"/>
      <w:r w:rsidRPr="00BD2335">
        <w:rPr>
          <w:rFonts w:ascii="Tahoma" w:eastAsia="Calibri" w:hAnsi="Tahoma" w:cs="Tahoma"/>
          <w:sz w:val="22"/>
          <w:szCs w:val="22"/>
          <w:lang w:eastAsia="en-US"/>
        </w:rPr>
        <w:t>urn</w:t>
      </w:r>
      <w:proofErr w:type="gramEnd"/>
      <w:r w:rsidRPr="00BD2335">
        <w:rPr>
          <w:rFonts w:ascii="Tahoma" w:eastAsia="Calibri" w:hAnsi="Tahoma" w:cs="Tahoma"/>
          <w:sz w:val="22"/>
          <w:szCs w:val="22"/>
          <w:lang w:eastAsia="en-US"/>
        </w:rPr>
        <w:t>=urn:lex:br:federal:lei:2012- 12-27;12764</w:t>
      </w:r>
    </w:p>
    <w:p w14:paraId="57963B6A" w14:textId="77777777" w:rsidR="00BD2335" w:rsidRDefault="00BD2335" w:rsidP="00AF06A7">
      <w:pPr>
        <w:spacing w:after="160" w:line="278" w:lineRule="auto"/>
        <w:rPr>
          <w:rFonts w:ascii="Tahoma" w:eastAsia="Garamond" w:hAnsi="Tahoma" w:cs="Tahoma"/>
          <w:bCs/>
          <w:sz w:val="22"/>
          <w:szCs w:val="22"/>
        </w:rPr>
      </w:pPr>
    </w:p>
    <w:p w14:paraId="39722474" w14:textId="77777777" w:rsidR="00BD2335" w:rsidRDefault="00BD2335" w:rsidP="00AF06A7">
      <w:pPr>
        <w:spacing w:after="160" w:line="278" w:lineRule="auto"/>
        <w:rPr>
          <w:rFonts w:ascii="Tahoma" w:eastAsia="Garamond" w:hAnsi="Tahoma" w:cs="Tahoma"/>
          <w:bCs/>
          <w:sz w:val="22"/>
          <w:szCs w:val="22"/>
        </w:rPr>
      </w:pPr>
    </w:p>
    <w:p w14:paraId="6AED52E6" w14:textId="77777777" w:rsidR="00BD2335" w:rsidRDefault="00BD2335" w:rsidP="00AF06A7">
      <w:pPr>
        <w:spacing w:after="160" w:line="278" w:lineRule="auto"/>
        <w:rPr>
          <w:rFonts w:ascii="Tahoma" w:eastAsia="Garamond" w:hAnsi="Tahoma" w:cs="Tahoma"/>
          <w:bCs/>
          <w:sz w:val="22"/>
          <w:szCs w:val="22"/>
        </w:rPr>
      </w:pPr>
    </w:p>
    <w:p w14:paraId="2D923CD0" w14:textId="77777777" w:rsidR="00BD2335" w:rsidRDefault="00BD2335" w:rsidP="00AF06A7">
      <w:pPr>
        <w:spacing w:after="160" w:line="278" w:lineRule="auto"/>
        <w:rPr>
          <w:rFonts w:ascii="Tahoma" w:eastAsia="Garamond" w:hAnsi="Tahoma" w:cs="Tahoma"/>
          <w:bCs/>
          <w:sz w:val="22"/>
          <w:szCs w:val="22"/>
        </w:rPr>
      </w:pPr>
    </w:p>
    <w:p w14:paraId="5E33C9C2" w14:textId="77777777" w:rsidR="00BD2335" w:rsidRDefault="00BD2335" w:rsidP="00AF06A7">
      <w:pPr>
        <w:spacing w:after="160" w:line="278" w:lineRule="auto"/>
        <w:rPr>
          <w:rFonts w:ascii="Tahoma" w:eastAsia="Garamond" w:hAnsi="Tahoma" w:cs="Tahoma"/>
          <w:bCs/>
          <w:sz w:val="22"/>
          <w:szCs w:val="22"/>
        </w:rPr>
      </w:pPr>
    </w:p>
    <w:p w14:paraId="03CFFB49" w14:textId="77777777" w:rsidR="00BD2335" w:rsidRDefault="00BD2335" w:rsidP="00AF06A7">
      <w:pPr>
        <w:spacing w:after="160" w:line="278" w:lineRule="auto"/>
        <w:rPr>
          <w:rFonts w:ascii="Tahoma" w:eastAsia="Garamond" w:hAnsi="Tahoma" w:cs="Tahoma"/>
          <w:bCs/>
          <w:sz w:val="22"/>
          <w:szCs w:val="22"/>
        </w:rPr>
      </w:pPr>
    </w:p>
    <w:p w14:paraId="5CE7D0E5" w14:textId="77777777" w:rsidR="00BD2335" w:rsidRDefault="00BD2335" w:rsidP="00AF06A7">
      <w:pPr>
        <w:spacing w:after="160" w:line="278" w:lineRule="auto"/>
        <w:rPr>
          <w:rFonts w:ascii="Tahoma" w:eastAsia="Garamond" w:hAnsi="Tahoma" w:cs="Tahoma"/>
          <w:bCs/>
          <w:sz w:val="22"/>
          <w:szCs w:val="22"/>
        </w:rPr>
      </w:pPr>
    </w:p>
    <w:p w14:paraId="4445D5EE" w14:textId="77777777" w:rsidR="00BD2335" w:rsidRDefault="00BD2335" w:rsidP="00AF06A7">
      <w:pPr>
        <w:spacing w:after="160" w:line="278" w:lineRule="auto"/>
        <w:rPr>
          <w:rFonts w:ascii="Tahoma" w:eastAsia="Garamond" w:hAnsi="Tahoma" w:cs="Tahoma"/>
          <w:bCs/>
          <w:sz w:val="22"/>
          <w:szCs w:val="22"/>
        </w:rPr>
      </w:pPr>
    </w:p>
    <w:p w14:paraId="462CE526" w14:textId="77777777" w:rsidR="00BD2335" w:rsidRDefault="00BD2335" w:rsidP="00AF06A7">
      <w:pPr>
        <w:spacing w:after="160" w:line="278" w:lineRule="auto"/>
        <w:rPr>
          <w:rFonts w:ascii="Tahoma" w:eastAsia="Garamond" w:hAnsi="Tahoma" w:cs="Tahoma"/>
          <w:bCs/>
          <w:sz w:val="22"/>
          <w:szCs w:val="22"/>
        </w:rPr>
      </w:pPr>
    </w:p>
    <w:bookmarkEnd w:id="0"/>
    <w:p w14:paraId="435FCCE7" w14:textId="77777777" w:rsidR="00BD2335" w:rsidRDefault="00BD2335" w:rsidP="00AF06A7">
      <w:pPr>
        <w:spacing w:after="160" w:line="278" w:lineRule="auto"/>
        <w:rPr>
          <w:rFonts w:ascii="Tahoma" w:eastAsia="Garamond" w:hAnsi="Tahoma" w:cs="Tahoma"/>
          <w:bCs/>
          <w:sz w:val="22"/>
          <w:szCs w:val="22"/>
        </w:rPr>
      </w:pPr>
    </w:p>
    <w:p w14:paraId="4D449B8D" w14:textId="77777777" w:rsidR="00BD2335" w:rsidRDefault="00BD2335" w:rsidP="00AF06A7">
      <w:pPr>
        <w:spacing w:after="160" w:line="278" w:lineRule="auto"/>
        <w:rPr>
          <w:rFonts w:ascii="Tahoma" w:eastAsia="Garamond" w:hAnsi="Tahoma" w:cs="Tahoma"/>
          <w:bCs/>
          <w:sz w:val="22"/>
          <w:szCs w:val="22"/>
        </w:rPr>
      </w:pPr>
    </w:p>
    <w:p w14:paraId="5C103DB2" w14:textId="77777777" w:rsidR="00BD2335" w:rsidRDefault="00BD2335" w:rsidP="00AF06A7">
      <w:pPr>
        <w:spacing w:after="160" w:line="278" w:lineRule="auto"/>
        <w:rPr>
          <w:rFonts w:ascii="Tahoma" w:eastAsia="Garamond" w:hAnsi="Tahoma" w:cs="Tahoma"/>
          <w:bCs/>
          <w:sz w:val="22"/>
          <w:szCs w:val="22"/>
        </w:rPr>
      </w:pPr>
    </w:p>
    <w:p w14:paraId="761BCED2" w14:textId="77777777" w:rsidR="00BD2335" w:rsidRDefault="00BD2335" w:rsidP="00AF06A7">
      <w:pPr>
        <w:spacing w:after="160" w:line="278" w:lineRule="auto"/>
        <w:rPr>
          <w:rFonts w:ascii="Tahoma" w:eastAsia="Garamond" w:hAnsi="Tahoma" w:cs="Tahoma"/>
          <w:bCs/>
          <w:sz w:val="22"/>
          <w:szCs w:val="22"/>
        </w:rPr>
      </w:pPr>
    </w:p>
    <w:p w14:paraId="23DA437B" w14:textId="77777777" w:rsidR="00BD2335" w:rsidRPr="00BD2335" w:rsidRDefault="00BD2335" w:rsidP="00AF06A7">
      <w:pPr>
        <w:spacing w:after="160" w:line="278" w:lineRule="auto"/>
        <w:rPr>
          <w:rFonts w:ascii="Tahoma" w:eastAsia="Garamond" w:hAnsi="Tahoma" w:cs="Tahoma"/>
          <w:bCs/>
          <w:sz w:val="22"/>
          <w:szCs w:val="22"/>
        </w:rPr>
      </w:pPr>
    </w:p>
    <w:sectPr w:rsidR="00BD2335" w:rsidRPr="00BD2335" w:rsidSect="00C9230C">
      <w:headerReference w:type="default" r:id="rId10"/>
      <w:footerReference w:type="default" r:id="rId11"/>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E9430B" w14:textId="77777777" w:rsidR="002B6010" w:rsidRDefault="002B6010">
      <w:r>
        <w:separator/>
      </w:r>
    </w:p>
  </w:endnote>
  <w:endnote w:type="continuationSeparator" w:id="0">
    <w:p w14:paraId="2FED6128" w14:textId="77777777" w:rsidR="002B6010" w:rsidRDefault="002B6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16A4C0" w14:textId="711A63DE" w:rsidR="005244F8" w:rsidRPr="00B87F84" w:rsidRDefault="00B87F84" w:rsidP="00B87F84">
    <w:pPr>
      <w:pStyle w:val="Rodap"/>
      <w:jc w:val="center"/>
      <w:rPr>
        <w:rFonts w:asciiTheme="minorHAnsi" w:eastAsia="Garamond" w:hAnsiTheme="minorHAnsi" w:cstheme="minorHAnsi"/>
        <w:sz w:val="20"/>
        <w:szCs w:val="20"/>
      </w:rPr>
    </w:pPr>
    <w:r w:rsidRPr="00B87F84">
      <w:rPr>
        <w:rFonts w:asciiTheme="minorHAnsi" w:hAnsiTheme="minorHAnsi" w:cstheme="minorHAnsi"/>
      </w:rPr>
      <w:t>Av. Ernani do Amaral Peixoto, 625 – Gabinete 47 - Centro, Niterói - RJ, 24020-075</w:t>
    </w:r>
    <w:r w:rsidRPr="00B87F84">
      <w:rPr>
        <w:rFonts w:asciiTheme="minorHAnsi" w:hAnsiTheme="minorHAnsi" w:cstheme="minorHAnsi"/>
      </w:rPr>
      <w:br/>
    </w:r>
    <w:hyperlink r:id="rId1" w:history="1">
      <w:r w:rsidRPr="00B87F84">
        <w:rPr>
          <w:rStyle w:val="Hyperlink"/>
          <w:rFonts w:asciiTheme="minorHAnsi" w:eastAsia="Garamond" w:hAnsiTheme="minorHAnsi" w:cstheme="minorHAnsi"/>
          <w:color w:val="auto"/>
          <w:sz w:val="20"/>
          <w:szCs w:val="20"/>
        </w:rPr>
        <w:t>contato@vereadorfael.com.br</w:t>
      </w:r>
    </w:hyperlink>
  </w:p>
  <w:p w14:paraId="76DF053B" w14:textId="1C6B4B9A" w:rsidR="00B87F84" w:rsidRPr="00B87F84" w:rsidRDefault="00B87F84">
    <w:pPr>
      <w:pBdr>
        <w:top w:val="nil"/>
        <w:left w:val="nil"/>
        <w:bottom w:val="nil"/>
        <w:right w:val="nil"/>
        <w:between w:val="nil"/>
      </w:pBdr>
      <w:tabs>
        <w:tab w:val="center" w:pos="4252"/>
        <w:tab w:val="right" w:pos="8504"/>
      </w:tabs>
      <w:jc w:val="center"/>
      <w:rPr>
        <w:rFonts w:asciiTheme="minorHAnsi" w:eastAsia="Garamond" w:hAnsiTheme="minorHAnsi" w:cstheme="minorHAnsi"/>
        <w:sz w:val="20"/>
        <w:szCs w:val="20"/>
      </w:rPr>
    </w:pPr>
    <w:r w:rsidRPr="00B87F84">
      <w:rPr>
        <w:rFonts w:asciiTheme="minorHAnsi" w:eastAsia="Garamond" w:hAnsiTheme="minorHAnsi" w:cstheme="minorHAnsi"/>
        <w:sz w:val="20"/>
        <w:szCs w:val="20"/>
      </w:rPr>
      <w:t>21 98655-4448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B95300" w14:textId="77777777" w:rsidR="002B6010" w:rsidRDefault="002B6010">
      <w:r>
        <w:separator/>
      </w:r>
    </w:p>
  </w:footnote>
  <w:footnote w:type="continuationSeparator" w:id="0">
    <w:p w14:paraId="56257FD6" w14:textId="77777777" w:rsidR="002B6010" w:rsidRDefault="002B60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D990C0" w14:textId="0FECAC77" w:rsidR="005244F8" w:rsidRDefault="00326DBA">
    <w:pPr>
      <w:spacing w:line="360" w:lineRule="auto"/>
      <w:jc w:val="center"/>
    </w:pPr>
    <w:r>
      <w:rPr>
        <w:noProof/>
      </w:rPr>
      <w:drawing>
        <wp:inline distT="0" distB="0" distL="0" distR="0" wp14:anchorId="05A11426" wp14:editId="1F2CA0F5">
          <wp:extent cx="781050" cy="676275"/>
          <wp:effectExtent l="0" t="0" r="0" b="9525"/>
          <wp:docPr id="461685099" name="Imagem 1"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685099" name="Imagem 1" descr="Logotip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95073" cy="688417"/>
                  </a:xfrm>
                  <a:prstGeom prst="rect">
                    <a:avLst/>
                  </a:prstGeom>
                </pic:spPr>
              </pic:pic>
            </a:graphicData>
          </a:graphic>
        </wp:inline>
      </w:drawing>
    </w:r>
  </w:p>
  <w:p w14:paraId="0E92D96A" w14:textId="77777777" w:rsidR="005244F8" w:rsidRPr="00493B27" w:rsidRDefault="0031718D">
    <w:pPr>
      <w:spacing w:line="360" w:lineRule="auto"/>
      <w:jc w:val="center"/>
      <w:rPr>
        <w:rFonts w:ascii="Arial" w:eastAsia="Arial" w:hAnsi="Arial" w:cs="Arial"/>
        <w:b/>
        <w:sz w:val="23"/>
        <w:szCs w:val="23"/>
      </w:rPr>
    </w:pPr>
    <w:r w:rsidRPr="00493B27">
      <w:rPr>
        <w:rFonts w:ascii="Arial" w:eastAsia="Arial" w:hAnsi="Arial" w:cs="Arial"/>
        <w:b/>
        <w:sz w:val="23"/>
        <w:szCs w:val="23"/>
      </w:rPr>
      <w:t>Câmara Municipal de Niterói</w:t>
    </w:r>
  </w:p>
  <w:p w14:paraId="32AB6BCF" w14:textId="5B9366EF" w:rsidR="005244F8" w:rsidRPr="00493B27" w:rsidRDefault="0031718D">
    <w:pPr>
      <w:spacing w:line="360" w:lineRule="auto"/>
      <w:ind w:left="-284" w:right="-285"/>
      <w:jc w:val="center"/>
      <w:rPr>
        <w:rFonts w:ascii="Arial" w:eastAsia="Arial" w:hAnsi="Arial" w:cs="Arial"/>
        <w:b/>
        <w:sz w:val="23"/>
        <w:szCs w:val="23"/>
      </w:rPr>
    </w:pPr>
    <w:r w:rsidRPr="00493B27">
      <w:rPr>
        <w:rFonts w:ascii="Arial" w:eastAsia="Arial" w:hAnsi="Arial" w:cs="Arial"/>
        <w:b/>
        <w:sz w:val="23"/>
        <w:szCs w:val="23"/>
      </w:rPr>
      <w:t xml:space="preserve">GABINETE DO VEREADOR </w:t>
    </w:r>
    <w:r w:rsidR="00B90E6D" w:rsidRPr="00493B27">
      <w:rPr>
        <w:rFonts w:ascii="Arial" w:eastAsia="Arial" w:hAnsi="Arial" w:cs="Arial"/>
        <w:b/>
        <w:sz w:val="23"/>
        <w:szCs w:val="23"/>
      </w:rPr>
      <w:t>FAEL</w:t>
    </w:r>
    <w:r w:rsidRPr="00493B27">
      <w:rPr>
        <w:rFonts w:ascii="Arial" w:eastAsia="Arial" w:hAnsi="Arial" w:cs="Arial"/>
        <w:b/>
        <w:sz w:val="23"/>
        <w:szCs w:val="23"/>
      </w:rPr>
      <w:t xml:space="preserve"> – P</w:t>
    </w:r>
    <w:r w:rsidR="00B90E6D" w:rsidRPr="00493B27">
      <w:rPr>
        <w:rFonts w:ascii="Arial" w:eastAsia="Arial" w:hAnsi="Arial" w:cs="Arial"/>
        <w:b/>
        <w:sz w:val="23"/>
        <w:szCs w:val="23"/>
      </w:rPr>
      <w:t>V</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85116"/>
    <w:multiLevelType w:val="multilevel"/>
    <w:tmpl w:val="F5CC4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72430AD"/>
    <w:multiLevelType w:val="multilevel"/>
    <w:tmpl w:val="41B88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4F8"/>
    <w:rsid w:val="000017CC"/>
    <w:rsid w:val="00036D42"/>
    <w:rsid w:val="00060E76"/>
    <w:rsid w:val="0006430E"/>
    <w:rsid w:val="000A26C8"/>
    <w:rsid w:val="000B5DEC"/>
    <w:rsid w:val="000D5B9A"/>
    <w:rsid w:val="00106438"/>
    <w:rsid w:val="0011002C"/>
    <w:rsid w:val="00152664"/>
    <w:rsid w:val="001938E4"/>
    <w:rsid w:val="001F1E48"/>
    <w:rsid w:val="00214037"/>
    <w:rsid w:val="00261730"/>
    <w:rsid w:val="002A27AE"/>
    <w:rsid w:val="002B6010"/>
    <w:rsid w:val="002D7C95"/>
    <w:rsid w:val="002E008C"/>
    <w:rsid w:val="002E5AB5"/>
    <w:rsid w:val="002F766A"/>
    <w:rsid w:val="0031718D"/>
    <w:rsid w:val="00323B0F"/>
    <w:rsid w:val="00326DBA"/>
    <w:rsid w:val="003278F3"/>
    <w:rsid w:val="00347ED9"/>
    <w:rsid w:val="00397F52"/>
    <w:rsid w:val="004024F0"/>
    <w:rsid w:val="00421286"/>
    <w:rsid w:val="00435C04"/>
    <w:rsid w:val="00490196"/>
    <w:rsid w:val="00493B27"/>
    <w:rsid w:val="004A12DD"/>
    <w:rsid w:val="00506A4B"/>
    <w:rsid w:val="00511174"/>
    <w:rsid w:val="005209E4"/>
    <w:rsid w:val="005244F8"/>
    <w:rsid w:val="00542CB5"/>
    <w:rsid w:val="00551899"/>
    <w:rsid w:val="005679A1"/>
    <w:rsid w:val="00580473"/>
    <w:rsid w:val="005A4DCA"/>
    <w:rsid w:val="005B1EAB"/>
    <w:rsid w:val="005E7409"/>
    <w:rsid w:val="00635860"/>
    <w:rsid w:val="00642095"/>
    <w:rsid w:val="006666D6"/>
    <w:rsid w:val="006F27B8"/>
    <w:rsid w:val="006F6537"/>
    <w:rsid w:val="00727F2E"/>
    <w:rsid w:val="0073003C"/>
    <w:rsid w:val="007507B8"/>
    <w:rsid w:val="007542C6"/>
    <w:rsid w:val="007758DB"/>
    <w:rsid w:val="00790082"/>
    <w:rsid w:val="007B6CED"/>
    <w:rsid w:val="00815E0B"/>
    <w:rsid w:val="00845AE5"/>
    <w:rsid w:val="008B588A"/>
    <w:rsid w:val="008B701B"/>
    <w:rsid w:val="00914B2C"/>
    <w:rsid w:val="00995603"/>
    <w:rsid w:val="009B084F"/>
    <w:rsid w:val="00A41610"/>
    <w:rsid w:val="00A6514D"/>
    <w:rsid w:val="00A77609"/>
    <w:rsid w:val="00AF06A7"/>
    <w:rsid w:val="00AF137D"/>
    <w:rsid w:val="00AF5D30"/>
    <w:rsid w:val="00B238C3"/>
    <w:rsid w:val="00B53007"/>
    <w:rsid w:val="00B87F84"/>
    <w:rsid w:val="00B90E6D"/>
    <w:rsid w:val="00BB0561"/>
    <w:rsid w:val="00BD2335"/>
    <w:rsid w:val="00BE679D"/>
    <w:rsid w:val="00C21DCF"/>
    <w:rsid w:val="00C7003C"/>
    <w:rsid w:val="00C805A0"/>
    <w:rsid w:val="00C9230C"/>
    <w:rsid w:val="00C93A76"/>
    <w:rsid w:val="00CA4213"/>
    <w:rsid w:val="00CC0A1A"/>
    <w:rsid w:val="00CF522A"/>
    <w:rsid w:val="00D24D86"/>
    <w:rsid w:val="00D403CD"/>
    <w:rsid w:val="00D52660"/>
    <w:rsid w:val="00D5651D"/>
    <w:rsid w:val="00DD057E"/>
    <w:rsid w:val="00E01BDD"/>
    <w:rsid w:val="00E04A83"/>
    <w:rsid w:val="00E146AF"/>
    <w:rsid w:val="00E4574F"/>
    <w:rsid w:val="00E60F61"/>
    <w:rsid w:val="00E62EC8"/>
    <w:rsid w:val="00E90723"/>
    <w:rsid w:val="00EA1058"/>
    <w:rsid w:val="00EE59F9"/>
    <w:rsid w:val="00F1267B"/>
    <w:rsid w:val="00F27E7C"/>
    <w:rsid w:val="00F6380A"/>
    <w:rsid w:val="00F63E6C"/>
    <w:rsid w:val="00F93F6C"/>
    <w:rsid w:val="00FD08FA"/>
    <w:rsid w:val="00FE44B3"/>
    <w:rsid w:val="00FF11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CF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B06"/>
  </w:style>
  <w:style w:type="paragraph" w:styleId="Ttulo1">
    <w:name w:val="heading 1"/>
    <w:basedOn w:val="Normal"/>
    <w:next w:val="Normal"/>
    <w:link w:val="Ttulo1Char"/>
    <w:qFormat/>
    <w:locked/>
    <w:rsid w:val="0038011E"/>
    <w:pPr>
      <w:keepNext/>
      <w:ind w:left="640"/>
      <w:outlineLvl w:val="0"/>
    </w:pPr>
    <w:rPr>
      <w:b/>
      <w:i/>
      <w:sz w:val="32"/>
      <w:szCs w:val="20"/>
    </w:rPr>
  </w:style>
  <w:style w:type="paragraph" w:styleId="Ttulo2">
    <w:name w:val="heading 2"/>
    <w:basedOn w:val="Normal"/>
    <w:next w:val="Normal"/>
    <w:link w:val="Ttulo2Char"/>
    <w:qFormat/>
    <w:locked/>
    <w:rsid w:val="0038011E"/>
    <w:pPr>
      <w:keepNext/>
      <w:jc w:val="center"/>
      <w:outlineLvl w:val="1"/>
    </w:pPr>
    <w:rPr>
      <w:rFonts w:eastAsia="Arial Unicode MS"/>
      <w:b/>
      <w:bCs/>
      <w:sz w:val="28"/>
    </w:rPr>
  </w:style>
  <w:style w:type="paragraph" w:styleId="Ttulo3">
    <w:name w:val="heading 3"/>
    <w:basedOn w:val="Normal"/>
    <w:next w:val="Normal"/>
    <w:link w:val="Ttulo3Char"/>
    <w:qFormat/>
    <w:locked/>
    <w:rsid w:val="0038011E"/>
    <w:pPr>
      <w:keepNext/>
      <w:jc w:val="center"/>
      <w:outlineLvl w:val="2"/>
    </w:pPr>
    <w:rPr>
      <w:rFonts w:ascii="Arial" w:eastAsia="Arial Unicode MS" w:hAnsi="Arial" w:cs="Arial"/>
      <w:b/>
      <w:bCs/>
      <w:sz w:val="20"/>
    </w:rPr>
  </w:style>
  <w:style w:type="paragraph" w:styleId="Ttulo4">
    <w:name w:val="heading 4"/>
    <w:basedOn w:val="Normal"/>
    <w:next w:val="Normal"/>
    <w:link w:val="Ttulo4Char"/>
    <w:qFormat/>
    <w:locked/>
    <w:rsid w:val="0038011E"/>
    <w:pPr>
      <w:keepNext/>
      <w:jc w:val="right"/>
      <w:outlineLvl w:val="3"/>
    </w:pPr>
    <w:rPr>
      <w:rFonts w:ascii="Arial" w:hAnsi="Arial" w:cs="Arial"/>
      <w:b/>
      <w:iCs/>
      <w:szCs w:val="20"/>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link w:val="Ttulo6Char"/>
    <w:qFormat/>
    <w:locked/>
    <w:rsid w:val="0038011E"/>
    <w:pPr>
      <w:keepNext/>
      <w:outlineLvl w:val="5"/>
    </w:pPr>
    <w:rPr>
      <w:rFonts w:eastAsia="Arial Unicode MS"/>
      <w:b/>
      <w:bCs/>
      <w:sz w:val="3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qFormat/>
    <w:locked/>
    <w:rsid w:val="0038011E"/>
    <w:pPr>
      <w:jc w:val="center"/>
    </w:pPr>
    <w:rPr>
      <w:b/>
      <w:i/>
      <w:sz w:val="32"/>
      <w:szCs w:val="20"/>
    </w:rPr>
  </w:style>
  <w:style w:type="paragraph" w:styleId="Cabealho">
    <w:name w:val="header"/>
    <w:basedOn w:val="Normal"/>
    <w:link w:val="CabealhoChar"/>
    <w:uiPriority w:val="99"/>
    <w:rsid w:val="00202EF2"/>
    <w:pPr>
      <w:tabs>
        <w:tab w:val="center" w:pos="4252"/>
        <w:tab w:val="right" w:pos="8504"/>
      </w:tabs>
    </w:pPr>
  </w:style>
  <w:style w:type="character" w:customStyle="1" w:styleId="CabealhoChar">
    <w:name w:val="Cabeçalho Char"/>
    <w:basedOn w:val="Fontepargpadro"/>
    <w:link w:val="Cabealho"/>
    <w:uiPriority w:val="99"/>
    <w:semiHidden/>
    <w:rsid w:val="000D19DF"/>
    <w:rPr>
      <w:sz w:val="24"/>
      <w:szCs w:val="24"/>
    </w:rPr>
  </w:style>
  <w:style w:type="paragraph" w:styleId="Textodebalo">
    <w:name w:val="Balloon Text"/>
    <w:basedOn w:val="Normal"/>
    <w:link w:val="TextodebaloChar"/>
    <w:uiPriority w:val="99"/>
    <w:semiHidden/>
    <w:rsid w:val="00B40269"/>
    <w:rPr>
      <w:rFonts w:ascii="Tahoma" w:hAnsi="Tahoma" w:cs="Tahoma"/>
      <w:sz w:val="16"/>
      <w:szCs w:val="16"/>
    </w:rPr>
  </w:style>
  <w:style w:type="character" w:customStyle="1" w:styleId="TextodebaloChar">
    <w:name w:val="Texto de balão Char"/>
    <w:basedOn w:val="Fontepargpadro"/>
    <w:link w:val="Textodebalo"/>
    <w:uiPriority w:val="99"/>
    <w:locked/>
    <w:rsid w:val="00B40269"/>
    <w:rPr>
      <w:rFonts w:ascii="Tahoma" w:hAnsi="Tahoma" w:cs="Tahoma"/>
      <w:sz w:val="16"/>
      <w:szCs w:val="16"/>
    </w:rPr>
  </w:style>
  <w:style w:type="paragraph" w:styleId="Rodap">
    <w:name w:val="footer"/>
    <w:basedOn w:val="Normal"/>
    <w:link w:val="RodapChar"/>
    <w:uiPriority w:val="99"/>
    <w:rsid w:val="00B40269"/>
    <w:pPr>
      <w:tabs>
        <w:tab w:val="center" w:pos="4252"/>
        <w:tab w:val="right" w:pos="8504"/>
      </w:tabs>
    </w:pPr>
  </w:style>
  <w:style w:type="character" w:customStyle="1" w:styleId="RodapChar">
    <w:name w:val="Rodapé Char"/>
    <w:basedOn w:val="Fontepargpadro"/>
    <w:link w:val="Rodap"/>
    <w:uiPriority w:val="99"/>
    <w:locked/>
    <w:rsid w:val="00B40269"/>
    <w:rPr>
      <w:sz w:val="24"/>
      <w:szCs w:val="24"/>
    </w:rPr>
  </w:style>
  <w:style w:type="character" w:customStyle="1" w:styleId="Ttulo1Char">
    <w:name w:val="Título 1 Char"/>
    <w:basedOn w:val="Fontepargpadro"/>
    <w:link w:val="Ttulo1"/>
    <w:rsid w:val="0038011E"/>
    <w:rPr>
      <w:b/>
      <w:i/>
      <w:sz w:val="32"/>
      <w:szCs w:val="20"/>
    </w:rPr>
  </w:style>
  <w:style w:type="character" w:customStyle="1" w:styleId="Ttulo2Char">
    <w:name w:val="Título 2 Char"/>
    <w:basedOn w:val="Fontepargpadro"/>
    <w:link w:val="Ttulo2"/>
    <w:rsid w:val="0038011E"/>
    <w:rPr>
      <w:rFonts w:eastAsia="Arial Unicode MS"/>
      <w:b/>
      <w:bCs/>
      <w:sz w:val="28"/>
      <w:szCs w:val="24"/>
    </w:rPr>
  </w:style>
  <w:style w:type="character" w:customStyle="1" w:styleId="Ttulo3Char">
    <w:name w:val="Título 3 Char"/>
    <w:basedOn w:val="Fontepargpadro"/>
    <w:link w:val="Ttulo3"/>
    <w:rsid w:val="0038011E"/>
    <w:rPr>
      <w:rFonts w:ascii="Arial" w:eastAsia="Arial Unicode MS" w:hAnsi="Arial" w:cs="Arial"/>
      <w:b/>
      <w:bCs/>
      <w:sz w:val="20"/>
      <w:szCs w:val="24"/>
    </w:rPr>
  </w:style>
  <w:style w:type="character" w:customStyle="1" w:styleId="Ttulo4Char">
    <w:name w:val="Título 4 Char"/>
    <w:basedOn w:val="Fontepargpadro"/>
    <w:link w:val="Ttulo4"/>
    <w:rsid w:val="0038011E"/>
    <w:rPr>
      <w:rFonts w:ascii="Arial" w:hAnsi="Arial" w:cs="Arial"/>
      <w:b/>
      <w:iCs/>
      <w:sz w:val="24"/>
      <w:szCs w:val="20"/>
    </w:rPr>
  </w:style>
  <w:style w:type="character" w:customStyle="1" w:styleId="Ttulo6Char">
    <w:name w:val="Título 6 Char"/>
    <w:basedOn w:val="Fontepargpadro"/>
    <w:link w:val="Ttulo6"/>
    <w:rsid w:val="0038011E"/>
    <w:rPr>
      <w:rFonts w:eastAsia="Arial Unicode MS"/>
      <w:b/>
      <w:bCs/>
      <w:sz w:val="30"/>
      <w:szCs w:val="24"/>
    </w:rPr>
  </w:style>
  <w:style w:type="paragraph" w:styleId="Corpodetexto">
    <w:name w:val="Body Text"/>
    <w:basedOn w:val="Normal"/>
    <w:link w:val="CorpodetextoChar"/>
    <w:semiHidden/>
    <w:rsid w:val="0038011E"/>
    <w:pPr>
      <w:jc w:val="both"/>
    </w:pPr>
    <w:rPr>
      <w:rFonts w:ascii="Courier New" w:hAnsi="Courier New" w:cs="Courier New"/>
      <w:bCs/>
      <w:iCs/>
      <w:sz w:val="28"/>
      <w:szCs w:val="20"/>
    </w:rPr>
  </w:style>
  <w:style w:type="character" w:customStyle="1" w:styleId="CorpodetextoChar">
    <w:name w:val="Corpo de texto Char"/>
    <w:basedOn w:val="Fontepargpadro"/>
    <w:link w:val="Corpodetexto"/>
    <w:semiHidden/>
    <w:rsid w:val="0038011E"/>
    <w:rPr>
      <w:rFonts w:ascii="Courier New" w:hAnsi="Courier New" w:cs="Courier New"/>
      <w:bCs/>
      <w:iCs/>
      <w:sz w:val="28"/>
      <w:szCs w:val="20"/>
    </w:rPr>
  </w:style>
  <w:style w:type="paragraph" w:styleId="Recuodecorpodetexto">
    <w:name w:val="Body Text Indent"/>
    <w:basedOn w:val="Normal"/>
    <w:link w:val="RecuodecorpodetextoChar"/>
    <w:semiHidden/>
    <w:rsid w:val="0038011E"/>
    <w:pPr>
      <w:spacing w:line="360" w:lineRule="auto"/>
      <w:ind w:firstLine="708"/>
      <w:jc w:val="both"/>
    </w:pPr>
    <w:rPr>
      <w:sz w:val="28"/>
    </w:rPr>
  </w:style>
  <w:style w:type="character" w:customStyle="1" w:styleId="RecuodecorpodetextoChar">
    <w:name w:val="Recuo de corpo de texto Char"/>
    <w:basedOn w:val="Fontepargpadro"/>
    <w:link w:val="Recuodecorpodetexto"/>
    <w:semiHidden/>
    <w:rsid w:val="0038011E"/>
    <w:rPr>
      <w:sz w:val="28"/>
      <w:szCs w:val="24"/>
    </w:rPr>
  </w:style>
  <w:style w:type="character" w:customStyle="1" w:styleId="TtuloChar">
    <w:name w:val="Título Char"/>
    <w:basedOn w:val="Fontepargpadro"/>
    <w:link w:val="Ttulo"/>
    <w:rsid w:val="0038011E"/>
    <w:rPr>
      <w:b/>
      <w:i/>
      <w:sz w:val="32"/>
      <w:szCs w:val="20"/>
    </w:rPr>
  </w:style>
  <w:style w:type="paragraph" w:styleId="PargrafodaLista">
    <w:name w:val="List Paragraph"/>
    <w:basedOn w:val="Normal"/>
    <w:uiPriority w:val="34"/>
    <w:qFormat/>
    <w:rsid w:val="00D40BA4"/>
    <w:pPr>
      <w:ind w:left="720"/>
      <w:contextualSpacing/>
    </w:pPr>
  </w:style>
  <w:style w:type="paragraph" w:styleId="Textodenotaderodap">
    <w:name w:val="footnote text"/>
    <w:basedOn w:val="Normal"/>
    <w:link w:val="TextodenotaderodapChar"/>
    <w:uiPriority w:val="99"/>
    <w:semiHidden/>
    <w:unhideWhenUsed/>
    <w:rsid w:val="00FA732E"/>
    <w:rPr>
      <w:sz w:val="20"/>
      <w:szCs w:val="20"/>
    </w:rPr>
  </w:style>
  <w:style w:type="character" w:customStyle="1" w:styleId="TextodenotaderodapChar">
    <w:name w:val="Texto de nota de rodapé Char"/>
    <w:basedOn w:val="Fontepargpadro"/>
    <w:link w:val="Textodenotaderodap"/>
    <w:uiPriority w:val="99"/>
    <w:semiHidden/>
    <w:rsid w:val="00FA732E"/>
    <w:rPr>
      <w:sz w:val="20"/>
      <w:szCs w:val="20"/>
    </w:rPr>
  </w:style>
  <w:style w:type="character" w:styleId="Refdenotaderodap">
    <w:name w:val="footnote reference"/>
    <w:basedOn w:val="Fontepargpadro"/>
    <w:uiPriority w:val="99"/>
    <w:semiHidden/>
    <w:unhideWhenUsed/>
    <w:rsid w:val="00FA732E"/>
    <w:rPr>
      <w:vertAlign w:val="superscript"/>
    </w:rPr>
  </w:style>
  <w:style w:type="character" w:styleId="Hyperlink">
    <w:name w:val="Hyperlink"/>
    <w:basedOn w:val="Fontepargpadro"/>
    <w:uiPriority w:val="99"/>
    <w:unhideWhenUsed/>
    <w:rsid w:val="007449B1"/>
    <w:rPr>
      <w:color w:val="0000FF" w:themeColor="hyperlink"/>
      <w:u w:val="singl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UnresolvedMention">
    <w:name w:val="Unresolved Mention"/>
    <w:basedOn w:val="Fontepargpadro"/>
    <w:uiPriority w:val="99"/>
    <w:semiHidden/>
    <w:unhideWhenUsed/>
    <w:rsid w:val="00B87F84"/>
    <w:rPr>
      <w:color w:val="605E5C"/>
      <w:shd w:val="clear" w:color="auto" w:fill="E1DFDD"/>
    </w:rPr>
  </w:style>
  <w:style w:type="table" w:styleId="Tabelacomgrade">
    <w:name w:val="Table Grid"/>
    <w:basedOn w:val="Tabelanormal"/>
    <w:uiPriority w:val="39"/>
    <w:rsid w:val="00C923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457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B06"/>
  </w:style>
  <w:style w:type="paragraph" w:styleId="Ttulo1">
    <w:name w:val="heading 1"/>
    <w:basedOn w:val="Normal"/>
    <w:next w:val="Normal"/>
    <w:link w:val="Ttulo1Char"/>
    <w:qFormat/>
    <w:locked/>
    <w:rsid w:val="0038011E"/>
    <w:pPr>
      <w:keepNext/>
      <w:ind w:left="640"/>
      <w:outlineLvl w:val="0"/>
    </w:pPr>
    <w:rPr>
      <w:b/>
      <w:i/>
      <w:sz w:val="32"/>
      <w:szCs w:val="20"/>
    </w:rPr>
  </w:style>
  <w:style w:type="paragraph" w:styleId="Ttulo2">
    <w:name w:val="heading 2"/>
    <w:basedOn w:val="Normal"/>
    <w:next w:val="Normal"/>
    <w:link w:val="Ttulo2Char"/>
    <w:qFormat/>
    <w:locked/>
    <w:rsid w:val="0038011E"/>
    <w:pPr>
      <w:keepNext/>
      <w:jc w:val="center"/>
      <w:outlineLvl w:val="1"/>
    </w:pPr>
    <w:rPr>
      <w:rFonts w:eastAsia="Arial Unicode MS"/>
      <w:b/>
      <w:bCs/>
      <w:sz w:val="28"/>
    </w:rPr>
  </w:style>
  <w:style w:type="paragraph" w:styleId="Ttulo3">
    <w:name w:val="heading 3"/>
    <w:basedOn w:val="Normal"/>
    <w:next w:val="Normal"/>
    <w:link w:val="Ttulo3Char"/>
    <w:qFormat/>
    <w:locked/>
    <w:rsid w:val="0038011E"/>
    <w:pPr>
      <w:keepNext/>
      <w:jc w:val="center"/>
      <w:outlineLvl w:val="2"/>
    </w:pPr>
    <w:rPr>
      <w:rFonts w:ascii="Arial" w:eastAsia="Arial Unicode MS" w:hAnsi="Arial" w:cs="Arial"/>
      <w:b/>
      <w:bCs/>
      <w:sz w:val="20"/>
    </w:rPr>
  </w:style>
  <w:style w:type="paragraph" w:styleId="Ttulo4">
    <w:name w:val="heading 4"/>
    <w:basedOn w:val="Normal"/>
    <w:next w:val="Normal"/>
    <w:link w:val="Ttulo4Char"/>
    <w:qFormat/>
    <w:locked/>
    <w:rsid w:val="0038011E"/>
    <w:pPr>
      <w:keepNext/>
      <w:jc w:val="right"/>
      <w:outlineLvl w:val="3"/>
    </w:pPr>
    <w:rPr>
      <w:rFonts w:ascii="Arial" w:hAnsi="Arial" w:cs="Arial"/>
      <w:b/>
      <w:iCs/>
      <w:szCs w:val="20"/>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link w:val="Ttulo6Char"/>
    <w:qFormat/>
    <w:locked/>
    <w:rsid w:val="0038011E"/>
    <w:pPr>
      <w:keepNext/>
      <w:outlineLvl w:val="5"/>
    </w:pPr>
    <w:rPr>
      <w:rFonts w:eastAsia="Arial Unicode MS"/>
      <w:b/>
      <w:bCs/>
      <w:sz w:val="3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qFormat/>
    <w:locked/>
    <w:rsid w:val="0038011E"/>
    <w:pPr>
      <w:jc w:val="center"/>
    </w:pPr>
    <w:rPr>
      <w:b/>
      <w:i/>
      <w:sz w:val="32"/>
      <w:szCs w:val="20"/>
    </w:rPr>
  </w:style>
  <w:style w:type="paragraph" w:styleId="Cabealho">
    <w:name w:val="header"/>
    <w:basedOn w:val="Normal"/>
    <w:link w:val="CabealhoChar"/>
    <w:uiPriority w:val="99"/>
    <w:rsid w:val="00202EF2"/>
    <w:pPr>
      <w:tabs>
        <w:tab w:val="center" w:pos="4252"/>
        <w:tab w:val="right" w:pos="8504"/>
      </w:tabs>
    </w:pPr>
  </w:style>
  <w:style w:type="character" w:customStyle="1" w:styleId="CabealhoChar">
    <w:name w:val="Cabeçalho Char"/>
    <w:basedOn w:val="Fontepargpadro"/>
    <w:link w:val="Cabealho"/>
    <w:uiPriority w:val="99"/>
    <w:semiHidden/>
    <w:rsid w:val="000D19DF"/>
    <w:rPr>
      <w:sz w:val="24"/>
      <w:szCs w:val="24"/>
    </w:rPr>
  </w:style>
  <w:style w:type="paragraph" w:styleId="Textodebalo">
    <w:name w:val="Balloon Text"/>
    <w:basedOn w:val="Normal"/>
    <w:link w:val="TextodebaloChar"/>
    <w:uiPriority w:val="99"/>
    <w:semiHidden/>
    <w:rsid w:val="00B40269"/>
    <w:rPr>
      <w:rFonts w:ascii="Tahoma" w:hAnsi="Tahoma" w:cs="Tahoma"/>
      <w:sz w:val="16"/>
      <w:szCs w:val="16"/>
    </w:rPr>
  </w:style>
  <w:style w:type="character" w:customStyle="1" w:styleId="TextodebaloChar">
    <w:name w:val="Texto de balão Char"/>
    <w:basedOn w:val="Fontepargpadro"/>
    <w:link w:val="Textodebalo"/>
    <w:uiPriority w:val="99"/>
    <w:locked/>
    <w:rsid w:val="00B40269"/>
    <w:rPr>
      <w:rFonts w:ascii="Tahoma" w:hAnsi="Tahoma" w:cs="Tahoma"/>
      <w:sz w:val="16"/>
      <w:szCs w:val="16"/>
    </w:rPr>
  </w:style>
  <w:style w:type="paragraph" w:styleId="Rodap">
    <w:name w:val="footer"/>
    <w:basedOn w:val="Normal"/>
    <w:link w:val="RodapChar"/>
    <w:uiPriority w:val="99"/>
    <w:rsid w:val="00B40269"/>
    <w:pPr>
      <w:tabs>
        <w:tab w:val="center" w:pos="4252"/>
        <w:tab w:val="right" w:pos="8504"/>
      </w:tabs>
    </w:pPr>
  </w:style>
  <w:style w:type="character" w:customStyle="1" w:styleId="RodapChar">
    <w:name w:val="Rodapé Char"/>
    <w:basedOn w:val="Fontepargpadro"/>
    <w:link w:val="Rodap"/>
    <w:uiPriority w:val="99"/>
    <w:locked/>
    <w:rsid w:val="00B40269"/>
    <w:rPr>
      <w:sz w:val="24"/>
      <w:szCs w:val="24"/>
    </w:rPr>
  </w:style>
  <w:style w:type="character" w:customStyle="1" w:styleId="Ttulo1Char">
    <w:name w:val="Título 1 Char"/>
    <w:basedOn w:val="Fontepargpadro"/>
    <w:link w:val="Ttulo1"/>
    <w:rsid w:val="0038011E"/>
    <w:rPr>
      <w:b/>
      <w:i/>
      <w:sz w:val="32"/>
      <w:szCs w:val="20"/>
    </w:rPr>
  </w:style>
  <w:style w:type="character" w:customStyle="1" w:styleId="Ttulo2Char">
    <w:name w:val="Título 2 Char"/>
    <w:basedOn w:val="Fontepargpadro"/>
    <w:link w:val="Ttulo2"/>
    <w:rsid w:val="0038011E"/>
    <w:rPr>
      <w:rFonts w:eastAsia="Arial Unicode MS"/>
      <w:b/>
      <w:bCs/>
      <w:sz w:val="28"/>
      <w:szCs w:val="24"/>
    </w:rPr>
  </w:style>
  <w:style w:type="character" w:customStyle="1" w:styleId="Ttulo3Char">
    <w:name w:val="Título 3 Char"/>
    <w:basedOn w:val="Fontepargpadro"/>
    <w:link w:val="Ttulo3"/>
    <w:rsid w:val="0038011E"/>
    <w:rPr>
      <w:rFonts w:ascii="Arial" w:eastAsia="Arial Unicode MS" w:hAnsi="Arial" w:cs="Arial"/>
      <w:b/>
      <w:bCs/>
      <w:sz w:val="20"/>
      <w:szCs w:val="24"/>
    </w:rPr>
  </w:style>
  <w:style w:type="character" w:customStyle="1" w:styleId="Ttulo4Char">
    <w:name w:val="Título 4 Char"/>
    <w:basedOn w:val="Fontepargpadro"/>
    <w:link w:val="Ttulo4"/>
    <w:rsid w:val="0038011E"/>
    <w:rPr>
      <w:rFonts w:ascii="Arial" w:hAnsi="Arial" w:cs="Arial"/>
      <w:b/>
      <w:iCs/>
      <w:sz w:val="24"/>
      <w:szCs w:val="20"/>
    </w:rPr>
  </w:style>
  <w:style w:type="character" w:customStyle="1" w:styleId="Ttulo6Char">
    <w:name w:val="Título 6 Char"/>
    <w:basedOn w:val="Fontepargpadro"/>
    <w:link w:val="Ttulo6"/>
    <w:rsid w:val="0038011E"/>
    <w:rPr>
      <w:rFonts w:eastAsia="Arial Unicode MS"/>
      <w:b/>
      <w:bCs/>
      <w:sz w:val="30"/>
      <w:szCs w:val="24"/>
    </w:rPr>
  </w:style>
  <w:style w:type="paragraph" w:styleId="Corpodetexto">
    <w:name w:val="Body Text"/>
    <w:basedOn w:val="Normal"/>
    <w:link w:val="CorpodetextoChar"/>
    <w:semiHidden/>
    <w:rsid w:val="0038011E"/>
    <w:pPr>
      <w:jc w:val="both"/>
    </w:pPr>
    <w:rPr>
      <w:rFonts w:ascii="Courier New" w:hAnsi="Courier New" w:cs="Courier New"/>
      <w:bCs/>
      <w:iCs/>
      <w:sz w:val="28"/>
      <w:szCs w:val="20"/>
    </w:rPr>
  </w:style>
  <w:style w:type="character" w:customStyle="1" w:styleId="CorpodetextoChar">
    <w:name w:val="Corpo de texto Char"/>
    <w:basedOn w:val="Fontepargpadro"/>
    <w:link w:val="Corpodetexto"/>
    <w:semiHidden/>
    <w:rsid w:val="0038011E"/>
    <w:rPr>
      <w:rFonts w:ascii="Courier New" w:hAnsi="Courier New" w:cs="Courier New"/>
      <w:bCs/>
      <w:iCs/>
      <w:sz w:val="28"/>
      <w:szCs w:val="20"/>
    </w:rPr>
  </w:style>
  <w:style w:type="paragraph" w:styleId="Recuodecorpodetexto">
    <w:name w:val="Body Text Indent"/>
    <w:basedOn w:val="Normal"/>
    <w:link w:val="RecuodecorpodetextoChar"/>
    <w:semiHidden/>
    <w:rsid w:val="0038011E"/>
    <w:pPr>
      <w:spacing w:line="360" w:lineRule="auto"/>
      <w:ind w:firstLine="708"/>
      <w:jc w:val="both"/>
    </w:pPr>
    <w:rPr>
      <w:sz w:val="28"/>
    </w:rPr>
  </w:style>
  <w:style w:type="character" w:customStyle="1" w:styleId="RecuodecorpodetextoChar">
    <w:name w:val="Recuo de corpo de texto Char"/>
    <w:basedOn w:val="Fontepargpadro"/>
    <w:link w:val="Recuodecorpodetexto"/>
    <w:semiHidden/>
    <w:rsid w:val="0038011E"/>
    <w:rPr>
      <w:sz w:val="28"/>
      <w:szCs w:val="24"/>
    </w:rPr>
  </w:style>
  <w:style w:type="character" w:customStyle="1" w:styleId="TtuloChar">
    <w:name w:val="Título Char"/>
    <w:basedOn w:val="Fontepargpadro"/>
    <w:link w:val="Ttulo"/>
    <w:rsid w:val="0038011E"/>
    <w:rPr>
      <w:b/>
      <w:i/>
      <w:sz w:val="32"/>
      <w:szCs w:val="20"/>
    </w:rPr>
  </w:style>
  <w:style w:type="paragraph" w:styleId="PargrafodaLista">
    <w:name w:val="List Paragraph"/>
    <w:basedOn w:val="Normal"/>
    <w:uiPriority w:val="34"/>
    <w:qFormat/>
    <w:rsid w:val="00D40BA4"/>
    <w:pPr>
      <w:ind w:left="720"/>
      <w:contextualSpacing/>
    </w:pPr>
  </w:style>
  <w:style w:type="paragraph" w:styleId="Textodenotaderodap">
    <w:name w:val="footnote text"/>
    <w:basedOn w:val="Normal"/>
    <w:link w:val="TextodenotaderodapChar"/>
    <w:uiPriority w:val="99"/>
    <w:semiHidden/>
    <w:unhideWhenUsed/>
    <w:rsid w:val="00FA732E"/>
    <w:rPr>
      <w:sz w:val="20"/>
      <w:szCs w:val="20"/>
    </w:rPr>
  </w:style>
  <w:style w:type="character" w:customStyle="1" w:styleId="TextodenotaderodapChar">
    <w:name w:val="Texto de nota de rodapé Char"/>
    <w:basedOn w:val="Fontepargpadro"/>
    <w:link w:val="Textodenotaderodap"/>
    <w:uiPriority w:val="99"/>
    <w:semiHidden/>
    <w:rsid w:val="00FA732E"/>
    <w:rPr>
      <w:sz w:val="20"/>
      <w:szCs w:val="20"/>
    </w:rPr>
  </w:style>
  <w:style w:type="character" w:styleId="Refdenotaderodap">
    <w:name w:val="footnote reference"/>
    <w:basedOn w:val="Fontepargpadro"/>
    <w:uiPriority w:val="99"/>
    <w:semiHidden/>
    <w:unhideWhenUsed/>
    <w:rsid w:val="00FA732E"/>
    <w:rPr>
      <w:vertAlign w:val="superscript"/>
    </w:rPr>
  </w:style>
  <w:style w:type="character" w:styleId="Hyperlink">
    <w:name w:val="Hyperlink"/>
    <w:basedOn w:val="Fontepargpadro"/>
    <w:uiPriority w:val="99"/>
    <w:unhideWhenUsed/>
    <w:rsid w:val="007449B1"/>
    <w:rPr>
      <w:color w:val="0000FF" w:themeColor="hyperlink"/>
      <w:u w:val="singl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UnresolvedMention">
    <w:name w:val="Unresolved Mention"/>
    <w:basedOn w:val="Fontepargpadro"/>
    <w:uiPriority w:val="99"/>
    <w:semiHidden/>
    <w:unhideWhenUsed/>
    <w:rsid w:val="00B87F84"/>
    <w:rPr>
      <w:color w:val="605E5C"/>
      <w:shd w:val="clear" w:color="auto" w:fill="E1DFDD"/>
    </w:rPr>
  </w:style>
  <w:style w:type="table" w:styleId="Tabelacomgrade">
    <w:name w:val="Table Grid"/>
    <w:basedOn w:val="Tabelanormal"/>
    <w:uiPriority w:val="39"/>
    <w:rsid w:val="00C923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457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284057">
      <w:bodyDiv w:val="1"/>
      <w:marLeft w:val="0"/>
      <w:marRight w:val="0"/>
      <w:marTop w:val="0"/>
      <w:marBottom w:val="0"/>
      <w:divBdr>
        <w:top w:val="none" w:sz="0" w:space="0" w:color="auto"/>
        <w:left w:val="none" w:sz="0" w:space="0" w:color="auto"/>
        <w:bottom w:val="none" w:sz="0" w:space="0" w:color="auto"/>
        <w:right w:val="none" w:sz="0" w:space="0" w:color="auto"/>
      </w:divBdr>
    </w:div>
    <w:div w:id="352074226">
      <w:bodyDiv w:val="1"/>
      <w:marLeft w:val="0"/>
      <w:marRight w:val="0"/>
      <w:marTop w:val="0"/>
      <w:marBottom w:val="0"/>
      <w:divBdr>
        <w:top w:val="none" w:sz="0" w:space="0" w:color="auto"/>
        <w:left w:val="none" w:sz="0" w:space="0" w:color="auto"/>
        <w:bottom w:val="none" w:sz="0" w:space="0" w:color="auto"/>
        <w:right w:val="none" w:sz="0" w:space="0" w:color="auto"/>
      </w:divBdr>
    </w:div>
    <w:div w:id="474378799">
      <w:bodyDiv w:val="1"/>
      <w:marLeft w:val="0"/>
      <w:marRight w:val="0"/>
      <w:marTop w:val="0"/>
      <w:marBottom w:val="0"/>
      <w:divBdr>
        <w:top w:val="none" w:sz="0" w:space="0" w:color="auto"/>
        <w:left w:val="none" w:sz="0" w:space="0" w:color="auto"/>
        <w:bottom w:val="none" w:sz="0" w:space="0" w:color="auto"/>
        <w:right w:val="none" w:sz="0" w:space="0" w:color="auto"/>
      </w:divBdr>
    </w:div>
    <w:div w:id="475025206">
      <w:bodyDiv w:val="1"/>
      <w:marLeft w:val="0"/>
      <w:marRight w:val="0"/>
      <w:marTop w:val="0"/>
      <w:marBottom w:val="0"/>
      <w:divBdr>
        <w:top w:val="none" w:sz="0" w:space="0" w:color="auto"/>
        <w:left w:val="none" w:sz="0" w:space="0" w:color="auto"/>
        <w:bottom w:val="none" w:sz="0" w:space="0" w:color="auto"/>
        <w:right w:val="none" w:sz="0" w:space="0" w:color="auto"/>
      </w:divBdr>
    </w:div>
    <w:div w:id="589705082">
      <w:bodyDiv w:val="1"/>
      <w:marLeft w:val="0"/>
      <w:marRight w:val="0"/>
      <w:marTop w:val="0"/>
      <w:marBottom w:val="0"/>
      <w:divBdr>
        <w:top w:val="none" w:sz="0" w:space="0" w:color="auto"/>
        <w:left w:val="none" w:sz="0" w:space="0" w:color="auto"/>
        <w:bottom w:val="none" w:sz="0" w:space="0" w:color="auto"/>
        <w:right w:val="none" w:sz="0" w:space="0" w:color="auto"/>
      </w:divBdr>
    </w:div>
    <w:div w:id="812868796">
      <w:bodyDiv w:val="1"/>
      <w:marLeft w:val="0"/>
      <w:marRight w:val="0"/>
      <w:marTop w:val="0"/>
      <w:marBottom w:val="0"/>
      <w:divBdr>
        <w:top w:val="none" w:sz="0" w:space="0" w:color="auto"/>
        <w:left w:val="none" w:sz="0" w:space="0" w:color="auto"/>
        <w:bottom w:val="none" w:sz="0" w:space="0" w:color="auto"/>
        <w:right w:val="none" w:sz="0" w:space="0" w:color="auto"/>
      </w:divBdr>
    </w:div>
    <w:div w:id="1171603636">
      <w:bodyDiv w:val="1"/>
      <w:marLeft w:val="0"/>
      <w:marRight w:val="0"/>
      <w:marTop w:val="0"/>
      <w:marBottom w:val="0"/>
      <w:divBdr>
        <w:top w:val="none" w:sz="0" w:space="0" w:color="auto"/>
        <w:left w:val="none" w:sz="0" w:space="0" w:color="auto"/>
        <w:bottom w:val="none" w:sz="0" w:space="0" w:color="auto"/>
        <w:right w:val="none" w:sz="0" w:space="0" w:color="auto"/>
      </w:divBdr>
    </w:div>
    <w:div w:id="1459226167">
      <w:bodyDiv w:val="1"/>
      <w:marLeft w:val="0"/>
      <w:marRight w:val="0"/>
      <w:marTop w:val="0"/>
      <w:marBottom w:val="0"/>
      <w:divBdr>
        <w:top w:val="none" w:sz="0" w:space="0" w:color="auto"/>
        <w:left w:val="none" w:sz="0" w:space="0" w:color="auto"/>
        <w:bottom w:val="none" w:sz="0" w:space="0" w:color="auto"/>
        <w:right w:val="none" w:sz="0" w:space="0" w:color="auto"/>
      </w:divBdr>
    </w:div>
    <w:div w:id="1883513608">
      <w:bodyDiv w:val="1"/>
      <w:marLeft w:val="0"/>
      <w:marRight w:val="0"/>
      <w:marTop w:val="0"/>
      <w:marBottom w:val="0"/>
      <w:divBdr>
        <w:top w:val="none" w:sz="0" w:space="0" w:color="auto"/>
        <w:left w:val="none" w:sz="0" w:space="0" w:color="auto"/>
        <w:bottom w:val="none" w:sz="0" w:space="0" w:color="auto"/>
        <w:right w:val="none" w:sz="0" w:space="0" w:color="auto"/>
      </w:divBdr>
    </w:div>
    <w:div w:id="19337826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mailto:contato@vereadorfael.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1lcBItx260ktUboogqKMpIJRRPA==">AMUW2mUscVypZoicLZ4HdUHKnhbZV7qZcSWi3fpavTvnU5zWnx/7wDv8B9rL+xrPthqbUSDAVa2Gr7JQW5RyZGBaOKiYuDPol5eDvLGmzH9wAoXnyFnEv8/A/tIFGTGuGoL+WaeOZdjg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DCF5596-6FBE-4C69-A942-CF7B1230E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1404</Words>
  <Characters>7584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andrigo</dc:creator>
  <cp:lastModifiedBy>Vereador Fael</cp:lastModifiedBy>
  <cp:revision>5</cp:revision>
  <cp:lastPrinted>2025-02-05T20:11:00Z</cp:lastPrinted>
  <dcterms:created xsi:type="dcterms:W3CDTF">2025-02-11T15:05:00Z</dcterms:created>
  <dcterms:modified xsi:type="dcterms:W3CDTF">2025-03-12T16:25:00Z</dcterms:modified>
</cp:coreProperties>
</file>