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DE94DB" w14:textId="77777777" w:rsidR="00826C1A" w:rsidRDefault="00826C1A" w:rsidP="00AF06A7">
      <w:pPr>
        <w:spacing w:after="160" w:line="278" w:lineRule="auto"/>
        <w:rPr>
          <w:rFonts w:ascii="Tahoma" w:eastAsia="Garamond" w:hAnsi="Tahoma" w:cs="Tahoma"/>
          <w:bCs/>
          <w:sz w:val="22"/>
          <w:szCs w:val="22"/>
        </w:rPr>
      </w:pPr>
    </w:p>
    <w:p w14:paraId="71BD3663" w14:textId="77777777" w:rsidR="00826C1A" w:rsidRDefault="00826C1A" w:rsidP="00826C1A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PROJETO DE LEI Nº __ /2025</w:t>
      </w:r>
    </w:p>
    <w:p w14:paraId="02DC5A19" w14:textId="77777777" w:rsidR="00826C1A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5A79145F" w14:textId="77777777" w:rsidR="00826C1A" w:rsidRPr="003F1DC0" w:rsidRDefault="00826C1A" w:rsidP="00826C1A">
      <w:pPr>
        <w:spacing w:after="160" w:line="360" w:lineRule="auto"/>
        <w:ind w:left="2880"/>
        <w:jc w:val="both"/>
        <w:rPr>
          <w:rFonts w:ascii="Garamond" w:eastAsia="Garamond" w:hAnsi="Garamond" w:cs="Garamond"/>
          <w:b/>
          <w:sz w:val="26"/>
          <w:szCs w:val="26"/>
        </w:rPr>
      </w:pPr>
      <w:r w:rsidRPr="003F1DC0">
        <w:rPr>
          <w:rFonts w:ascii="Garamond" w:eastAsia="Garamond" w:hAnsi="Garamond" w:cs="Garamond"/>
          <w:b/>
          <w:sz w:val="26"/>
          <w:szCs w:val="26"/>
        </w:rPr>
        <w:t>DISPÕE SOBRE AS OBRIGAÇÕES RELATIVAS À DISTRIBUIÇÃO DE SENHAS EM BRAILLE NAS AGÊNCIAS BANCÁRIAS PARA USUÁRIOS COM DEFICIÊNCIA VISUAL NO MUNICÍPIO DE NITERÓI</w:t>
      </w:r>
    </w:p>
    <w:p w14:paraId="720F6F8E" w14:textId="77777777" w:rsidR="00826C1A" w:rsidRPr="005B4C33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553792C5" w14:textId="77777777" w:rsidR="00826C1A" w:rsidRPr="005B4C33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 w:rsidRPr="005B4C33">
        <w:rPr>
          <w:rFonts w:ascii="Garamond" w:eastAsia="Garamond" w:hAnsi="Garamond" w:cs="Garamond"/>
          <w:sz w:val="26"/>
          <w:szCs w:val="26"/>
        </w:rPr>
        <w:t xml:space="preserve">Art. 1º. Os bancos com agências situadas no Município de Niterói deverão distribuir senhas em Braille com fonte ampliada e contraste, </w:t>
      </w:r>
      <w:r>
        <w:rPr>
          <w:rFonts w:ascii="Garamond" w:eastAsia="Garamond" w:hAnsi="Garamond" w:cs="Garamond"/>
          <w:sz w:val="26"/>
          <w:szCs w:val="26"/>
        </w:rPr>
        <w:t xml:space="preserve">nos termos da ABNT, </w:t>
      </w:r>
      <w:r w:rsidRPr="005B4C33">
        <w:rPr>
          <w:rFonts w:ascii="Garamond" w:eastAsia="Garamond" w:hAnsi="Garamond" w:cs="Garamond"/>
          <w:sz w:val="26"/>
          <w:szCs w:val="26"/>
        </w:rPr>
        <w:t>no serviço de atend</w:t>
      </w:r>
      <w:r>
        <w:rPr>
          <w:rFonts w:ascii="Garamond" w:eastAsia="Garamond" w:hAnsi="Garamond" w:cs="Garamond"/>
          <w:sz w:val="26"/>
          <w:szCs w:val="26"/>
        </w:rPr>
        <w:t>imento ao cliente e/ou usuário.</w:t>
      </w:r>
    </w:p>
    <w:p w14:paraId="500676E4" w14:textId="77777777" w:rsidR="00826C1A" w:rsidRPr="005B4C33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 w:rsidRPr="005B4C33">
        <w:rPr>
          <w:rFonts w:ascii="Garamond" w:eastAsia="Garamond" w:hAnsi="Garamond" w:cs="Garamond"/>
          <w:sz w:val="26"/>
          <w:szCs w:val="26"/>
        </w:rPr>
        <w:t>Art. 2º. As senhas deverão ser</w:t>
      </w:r>
      <w:r>
        <w:rPr>
          <w:rFonts w:ascii="Garamond" w:eastAsia="Garamond" w:hAnsi="Garamond" w:cs="Garamond"/>
          <w:sz w:val="26"/>
          <w:szCs w:val="26"/>
        </w:rPr>
        <w:t xml:space="preserve"> anunciadas por serviço de som.</w:t>
      </w:r>
    </w:p>
    <w:p w14:paraId="230BF52D" w14:textId="77777777" w:rsidR="00826C1A" w:rsidRPr="005B4C33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 w:rsidRPr="005B4C33">
        <w:rPr>
          <w:rFonts w:ascii="Garamond" w:eastAsia="Garamond" w:hAnsi="Garamond" w:cs="Garamond"/>
          <w:sz w:val="26"/>
          <w:szCs w:val="26"/>
        </w:rPr>
        <w:t xml:space="preserve">Art. 3º. Os estabelecimentos que descumprirem o disposto nesta Lei ficarão sujeitos </w:t>
      </w:r>
      <w:proofErr w:type="gramStart"/>
      <w:r w:rsidRPr="005B4C33">
        <w:rPr>
          <w:rFonts w:ascii="Garamond" w:eastAsia="Garamond" w:hAnsi="Garamond" w:cs="Garamond"/>
          <w:sz w:val="26"/>
          <w:szCs w:val="26"/>
        </w:rPr>
        <w:t>a</w:t>
      </w:r>
      <w:proofErr w:type="gramEnd"/>
      <w:r w:rsidRPr="005B4C33">
        <w:rPr>
          <w:rFonts w:ascii="Garamond" w:eastAsia="Garamond" w:hAnsi="Garamond" w:cs="Garamond"/>
          <w:sz w:val="26"/>
          <w:szCs w:val="26"/>
        </w:rPr>
        <w:t xml:space="preserve"> multa no valor de R$ 5.000,00 (cinco mil reais) e o d</w:t>
      </w:r>
      <w:r>
        <w:rPr>
          <w:rFonts w:ascii="Garamond" w:eastAsia="Garamond" w:hAnsi="Garamond" w:cs="Garamond"/>
          <w:sz w:val="26"/>
          <w:szCs w:val="26"/>
        </w:rPr>
        <w:t xml:space="preserve">obro, em caso de reincidência. </w:t>
      </w:r>
    </w:p>
    <w:p w14:paraId="1CC98BDA" w14:textId="77777777" w:rsidR="00826C1A" w:rsidRPr="005B4C33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 w:rsidRPr="005B4C33">
        <w:rPr>
          <w:rFonts w:ascii="Garamond" w:eastAsia="Garamond" w:hAnsi="Garamond" w:cs="Garamond"/>
          <w:sz w:val="26"/>
          <w:szCs w:val="26"/>
        </w:rPr>
        <w:t>Art. 4º. Os estabelecimentos citad</w:t>
      </w:r>
      <w:r>
        <w:rPr>
          <w:rFonts w:ascii="Garamond" w:eastAsia="Garamond" w:hAnsi="Garamond" w:cs="Garamond"/>
          <w:sz w:val="26"/>
          <w:szCs w:val="26"/>
        </w:rPr>
        <w:t>os no caput terão o prazo de 90</w:t>
      </w:r>
      <w:r w:rsidRPr="005B4C33">
        <w:rPr>
          <w:rFonts w:ascii="Garamond" w:eastAsia="Garamond" w:hAnsi="Garamond" w:cs="Garamond"/>
          <w:sz w:val="26"/>
          <w:szCs w:val="26"/>
        </w:rPr>
        <w:t xml:space="preserve"> (</w:t>
      </w:r>
      <w:r>
        <w:rPr>
          <w:rFonts w:ascii="Garamond" w:eastAsia="Garamond" w:hAnsi="Garamond" w:cs="Garamond"/>
          <w:sz w:val="26"/>
          <w:szCs w:val="26"/>
        </w:rPr>
        <w:t>noventa</w:t>
      </w:r>
      <w:r w:rsidRPr="005B4C33">
        <w:rPr>
          <w:rFonts w:ascii="Garamond" w:eastAsia="Garamond" w:hAnsi="Garamond" w:cs="Garamond"/>
          <w:sz w:val="26"/>
          <w:szCs w:val="26"/>
        </w:rPr>
        <w:t>) dias para se a</w:t>
      </w:r>
      <w:r>
        <w:rPr>
          <w:rFonts w:ascii="Garamond" w:eastAsia="Garamond" w:hAnsi="Garamond" w:cs="Garamond"/>
          <w:sz w:val="26"/>
          <w:szCs w:val="26"/>
        </w:rPr>
        <w:t>dequarem ao disposto nesta Lei.</w:t>
      </w:r>
    </w:p>
    <w:p w14:paraId="5410A306" w14:textId="5B13C89F" w:rsidR="00826C1A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 w:rsidRPr="005B4C33">
        <w:rPr>
          <w:rFonts w:ascii="Garamond" w:eastAsia="Garamond" w:hAnsi="Garamond" w:cs="Garamond"/>
          <w:sz w:val="26"/>
          <w:szCs w:val="26"/>
        </w:rPr>
        <w:t>Art. 5°. Esta Lei entra em vigor na data de sua publicação.</w:t>
      </w:r>
    </w:p>
    <w:p w14:paraId="21045E5F" w14:textId="77777777" w:rsidR="00826C1A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5FB9CF13" w14:textId="3A239EE7" w:rsidR="00826C1A" w:rsidRDefault="00826C1A" w:rsidP="00826C1A">
      <w:pPr>
        <w:spacing w:after="160" w:line="360" w:lineRule="auto"/>
        <w:jc w:val="center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>Niterói, 17 de fevereiro de 2025.</w:t>
      </w:r>
    </w:p>
    <w:p w14:paraId="0393E062" w14:textId="77777777" w:rsidR="00826C1A" w:rsidRPr="0017208D" w:rsidRDefault="00826C1A" w:rsidP="00826C1A">
      <w:pPr>
        <w:spacing w:after="160" w:line="360" w:lineRule="auto"/>
        <w:jc w:val="center"/>
        <w:rPr>
          <w:rFonts w:ascii="Garamond" w:eastAsia="Garamond" w:hAnsi="Garamond" w:cs="Garamond"/>
          <w:sz w:val="26"/>
          <w:szCs w:val="26"/>
        </w:rPr>
      </w:pPr>
    </w:p>
    <w:p w14:paraId="7649EAFC" w14:textId="77777777" w:rsidR="00826C1A" w:rsidRPr="007542C6" w:rsidRDefault="00826C1A" w:rsidP="00826C1A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Rafael Faustino Junior - FAEL</w:t>
      </w:r>
    </w:p>
    <w:p w14:paraId="0CC8B2A5" w14:textId="77777777" w:rsidR="00826C1A" w:rsidRDefault="00826C1A" w:rsidP="00826C1A">
      <w:pPr>
        <w:spacing w:after="160" w:line="360" w:lineRule="auto"/>
        <w:jc w:val="center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Vereador</w:t>
      </w:r>
      <w:r>
        <w:rPr>
          <w:rFonts w:ascii="Garamond" w:eastAsia="Garamond" w:hAnsi="Garamond" w:cs="Garamond"/>
          <w:sz w:val="26"/>
          <w:szCs w:val="26"/>
        </w:rPr>
        <w:br w:type="page"/>
      </w:r>
    </w:p>
    <w:p w14:paraId="0B931682" w14:textId="77777777" w:rsidR="00826C1A" w:rsidRDefault="00826C1A" w:rsidP="00826C1A">
      <w:pPr>
        <w:spacing w:after="160" w:line="360" w:lineRule="auto"/>
        <w:rPr>
          <w:rFonts w:ascii="Garamond" w:eastAsia="Garamond" w:hAnsi="Garamond" w:cs="Garamond"/>
          <w:b/>
          <w:sz w:val="26"/>
          <w:szCs w:val="26"/>
        </w:rPr>
      </w:pPr>
    </w:p>
    <w:p w14:paraId="2F17629D" w14:textId="3FA5177D" w:rsidR="00826C1A" w:rsidRDefault="00826C1A" w:rsidP="00826C1A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  <w:r w:rsidRPr="007542C6">
        <w:rPr>
          <w:rFonts w:ascii="Garamond" w:eastAsia="Garamond" w:hAnsi="Garamond" w:cs="Garamond"/>
          <w:b/>
          <w:sz w:val="26"/>
          <w:szCs w:val="26"/>
        </w:rPr>
        <w:t>JUSTIFICATIVA</w:t>
      </w:r>
    </w:p>
    <w:p w14:paraId="3B82D9FF" w14:textId="77777777" w:rsidR="00826C1A" w:rsidRPr="00826C1A" w:rsidRDefault="00826C1A" w:rsidP="00826C1A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</w:p>
    <w:p w14:paraId="2F2EF09C" w14:textId="77777777" w:rsidR="00826C1A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>Senhores Vereadores e Senhoras Vereadoras,</w:t>
      </w:r>
    </w:p>
    <w:p w14:paraId="1A603BBB" w14:textId="77777777" w:rsidR="00826C1A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78E03631" w14:textId="77777777" w:rsidR="00826C1A" w:rsidRPr="005218CD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 w:rsidRPr="005218CD">
        <w:rPr>
          <w:rFonts w:ascii="Garamond" w:eastAsia="Garamond" w:hAnsi="Garamond" w:cs="Garamond"/>
          <w:sz w:val="26"/>
          <w:szCs w:val="26"/>
        </w:rPr>
        <w:t>O presente projeto de lei tem como objetivo determinar que todas as agências bancárias do Município de Niterói disponibilizem senhas em Braille aos u</w:t>
      </w:r>
      <w:r>
        <w:rPr>
          <w:rFonts w:ascii="Garamond" w:eastAsia="Garamond" w:hAnsi="Garamond" w:cs="Garamond"/>
          <w:sz w:val="26"/>
          <w:szCs w:val="26"/>
        </w:rPr>
        <w:t>suários com deficiência visual.</w:t>
      </w:r>
    </w:p>
    <w:p w14:paraId="4C8BFE05" w14:textId="77777777" w:rsidR="00826C1A" w:rsidRPr="005218CD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 w:rsidRPr="005218CD">
        <w:rPr>
          <w:rFonts w:ascii="Garamond" w:eastAsia="Garamond" w:hAnsi="Garamond" w:cs="Garamond"/>
          <w:sz w:val="26"/>
          <w:szCs w:val="26"/>
        </w:rPr>
        <w:t>A proposição é apresentada no regular exercício da competência legislativa desta</w:t>
      </w:r>
    </w:p>
    <w:p w14:paraId="319CE833" w14:textId="77777777" w:rsidR="00826C1A" w:rsidRPr="005218CD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 w:rsidRPr="005218CD">
        <w:rPr>
          <w:rFonts w:ascii="Garamond" w:eastAsia="Garamond" w:hAnsi="Garamond" w:cs="Garamond"/>
          <w:sz w:val="26"/>
          <w:szCs w:val="26"/>
        </w:rPr>
        <w:t>Casa, para editar normas relativas à proteção das pessoas com deficiência, ao exercício do poder de polícia e à regulamentação das atividades econômicas desenv</w:t>
      </w:r>
      <w:r>
        <w:rPr>
          <w:rFonts w:ascii="Garamond" w:eastAsia="Garamond" w:hAnsi="Garamond" w:cs="Garamond"/>
          <w:sz w:val="26"/>
          <w:szCs w:val="26"/>
        </w:rPr>
        <w:t>olvidas no âmbito do Município.</w:t>
      </w:r>
    </w:p>
    <w:p w14:paraId="6B84B2F5" w14:textId="77777777" w:rsidR="00826C1A" w:rsidRPr="005218CD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b/>
          <w:sz w:val="26"/>
          <w:szCs w:val="26"/>
          <w:u w:val="single"/>
        </w:rPr>
      </w:pPr>
      <w:r>
        <w:rPr>
          <w:rFonts w:ascii="Garamond" w:eastAsia="Garamond" w:hAnsi="Garamond" w:cs="Garamond"/>
          <w:sz w:val="26"/>
          <w:szCs w:val="26"/>
        </w:rPr>
        <w:t xml:space="preserve">Merece destaque, por oportuno, que </w:t>
      </w:r>
      <w:r w:rsidRPr="005218CD">
        <w:rPr>
          <w:rFonts w:ascii="Garamond" w:eastAsia="Garamond" w:hAnsi="Garamond" w:cs="Garamond"/>
          <w:sz w:val="26"/>
          <w:szCs w:val="26"/>
        </w:rPr>
        <w:t xml:space="preserve">nos termos do art. 22, inciso VII, compete privativamente à União legislar sobre </w:t>
      </w:r>
      <w:proofErr w:type="gramStart"/>
      <w:r w:rsidRPr="005218CD">
        <w:rPr>
          <w:rFonts w:ascii="Garamond" w:eastAsia="Garamond" w:hAnsi="Garamond" w:cs="Garamond"/>
          <w:sz w:val="26"/>
          <w:szCs w:val="26"/>
        </w:rPr>
        <w:t>política de crédito, câmbio, seguros</w:t>
      </w:r>
      <w:proofErr w:type="gramEnd"/>
      <w:r w:rsidRPr="005218CD">
        <w:rPr>
          <w:rFonts w:ascii="Garamond" w:eastAsia="Garamond" w:hAnsi="Garamond" w:cs="Garamond"/>
          <w:sz w:val="26"/>
          <w:szCs w:val="26"/>
        </w:rPr>
        <w:t xml:space="preserve"> e transferência de valores, </w:t>
      </w:r>
      <w:r w:rsidRPr="005218CD">
        <w:rPr>
          <w:rFonts w:ascii="Garamond" w:eastAsia="Garamond" w:hAnsi="Garamond" w:cs="Garamond"/>
          <w:b/>
          <w:sz w:val="26"/>
          <w:szCs w:val="26"/>
          <w:u w:val="single"/>
        </w:rPr>
        <w:t>de modo que o tema de fundo do projeto de lei em discussão versa sobre a acessibilidade e conforto dos clientes das casas bancárias, o que garante a competência municipal para legislar sobre a matéria (30, I, e art. 23, II, da CF).</w:t>
      </w:r>
    </w:p>
    <w:p w14:paraId="5CD25750" w14:textId="77777777" w:rsidR="00826C1A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0C6C9113" w14:textId="77777777" w:rsidR="00826C1A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3C0646CA" w14:textId="77777777" w:rsidR="00826C1A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25F1DF55" w14:textId="77777777" w:rsidR="00826C1A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4B119599" w14:textId="77777777" w:rsidR="00826C1A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7CA4E0A0" w14:textId="77777777" w:rsidR="00826C1A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57D698C2" w14:textId="77777777" w:rsidR="00826C1A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bookmarkStart w:id="0" w:name="_GoBack"/>
      <w:bookmarkEnd w:id="0"/>
      <w:r w:rsidRPr="005218CD">
        <w:rPr>
          <w:rFonts w:ascii="Garamond" w:eastAsia="Garamond" w:hAnsi="Garamond" w:cs="Garamond"/>
          <w:sz w:val="26"/>
          <w:szCs w:val="26"/>
        </w:rPr>
        <w:t xml:space="preserve">Inclusive, este entendimento já se encontra consolidado em reiteradas decisões do Supremo Tribunal Federal, que analisando a legislação de outros municípios em casos análogos já se </w:t>
      </w:r>
      <w:r>
        <w:rPr>
          <w:rFonts w:ascii="Garamond" w:eastAsia="Garamond" w:hAnsi="Garamond" w:cs="Garamond"/>
          <w:sz w:val="26"/>
          <w:szCs w:val="26"/>
        </w:rPr>
        <w:t>pronunciou da seguinte maneira:</w:t>
      </w:r>
    </w:p>
    <w:p w14:paraId="5EAF4176" w14:textId="77777777" w:rsidR="00826C1A" w:rsidRPr="005218CD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046F36CB" w14:textId="77777777" w:rsidR="00826C1A" w:rsidRPr="005218CD" w:rsidRDefault="00826C1A" w:rsidP="00826C1A">
      <w:pPr>
        <w:spacing w:after="160" w:line="360" w:lineRule="auto"/>
        <w:ind w:left="2160"/>
        <w:jc w:val="both"/>
        <w:rPr>
          <w:rFonts w:ascii="Garamond" w:eastAsia="Garamond" w:hAnsi="Garamond" w:cs="Garamond"/>
          <w:sz w:val="26"/>
          <w:szCs w:val="26"/>
        </w:rPr>
      </w:pPr>
      <w:r w:rsidRPr="005218CD">
        <w:rPr>
          <w:rFonts w:ascii="Garamond" w:eastAsia="Garamond" w:hAnsi="Garamond" w:cs="Garamond"/>
          <w:sz w:val="26"/>
          <w:szCs w:val="26"/>
        </w:rPr>
        <w:t xml:space="preserve">EMENTA Agravo regimental no recurso extraordinário. Constitucional. Competência legislativa dos Municípios. </w:t>
      </w:r>
      <w:r>
        <w:rPr>
          <w:rFonts w:ascii="Garamond" w:eastAsia="Garamond" w:hAnsi="Garamond" w:cs="Garamond"/>
          <w:sz w:val="26"/>
          <w:szCs w:val="26"/>
        </w:rPr>
        <w:t xml:space="preserve"> </w:t>
      </w:r>
      <w:r w:rsidRPr="005218CD">
        <w:rPr>
          <w:rFonts w:ascii="Garamond" w:eastAsia="Garamond" w:hAnsi="Garamond" w:cs="Garamond"/>
          <w:sz w:val="26"/>
          <w:szCs w:val="26"/>
        </w:rPr>
        <w:t xml:space="preserve">Instalação de sanitários nas agências bancárias. Conforto dos usuários. Normas de proteção ao consumidor. Assunto de interesse local. Precedentes. 1. É pacífica a jurisprudência desta Corte de que os Municípios detêm competência para legislar determinando a instalação de sanitários nas agências bancárias, uma vez que essa questão é de interesse local e diz respeito às normas de proteção das relações de consumo, posto que </w:t>
      </w:r>
      <w:proofErr w:type="gramStart"/>
      <w:r w:rsidRPr="005218CD">
        <w:rPr>
          <w:rFonts w:ascii="Garamond" w:eastAsia="Garamond" w:hAnsi="Garamond" w:cs="Garamond"/>
          <w:sz w:val="26"/>
          <w:szCs w:val="26"/>
        </w:rPr>
        <w:t>visa</w:t>
      </w:r>
      <w:proofErr w:type="gramEnd"/>
      <w:r w:rsidRPr="005218CD">
        <w:rPr>
          <w:rFonts w:ascii="Garamond" w:eastAsia="Garamond" w:hAnsi="Garamond" w:cs="Garamond"/>
          <w:sz w:val="26"/>
          <w:szCs w:val="26"/>
        </w:rPr>
        <w:t xml:space="preserve"> o maior conforto dos usuários daquele serviço, não se confundindo com a atividade-fim das instituições bancárias. 2. Agravo regimental não provido. (RE 2</w:t>
      </w:r>
      <w:r>
        <w:rPr>
          <w:rFonts w:ascii="Garamond" w:eastAsia="Garamond" w:hAnsi="Garamond" w:cs="Garamond"/>
          <w:sz w:val="26"/>
          <w:szCs w:val="26"/>
        </w:rPr>
        <w:t xml:space="preserve">66536 </w:t>
      </w:r>
      <w:proofErr w:type="spellStart"/>
      <w:proofErr w:type="gramStart"/>
      <w:r>
        <w:rPr>
          <w:rFonts w:ascii="Garamond" w:eastAsia="Garamond" w:hAnsi="Garamond" w:cs="Garamond"/>
          <w:sz w:val="26"/>
          <w:szCs w:val="26"/>
        </w:rPr>
        <w:t>AgR</w:t>
      </w:r>
      <w:proofErr w:type="spellEnd"/>
      <w:proofErr w:type="gramEnd"/>
      <w:r>
        <w:rPr>
          <w:rFonts w:ascii="Garamond" w:eastAsia="Garamond" w:hAnsi="Garamond" w:cs="Garamond"/>
          <w:sz w:val="26"/>
          <w:szCs w:val="26"/>
        </w:rPr>
        <w:t xml:space="preserve">, Relator(a): Min. DIA </w:t>
      </w:r>
      <w:r w:rsidRPr="005218CD">
        <w:rPr>
          <w:rFonts w:ascii="Garamond" w:eastAsia="Garamond" w:hAnsi="Garamond" w:cs="Garamond"/>
          <w:sz w:val="26"/>
          <w:szCs w:val="26"/>
        </w:rPr>
        <w:t>TOFFOLI, Primeira Turma,</w:t>
      </w:r>
      <w:r>
        <w:rPr>
          <w:rFonts w:ascii="Garamond" w:eastAsia="Garamond" w:hAnsi="Garamond" w:cs="Garamond"/>
          <w:sz w:val="26"/>
          <w:szCs w:val="26"/>
        </w:rPr>
        <w:t xml:space="preserve"> julgado em 17/04/2012, ACÓRDÃO </w:t>
      </w:r>
      <w:r w:rsidRPr="005218CD">
        <w:rPr>
          <w:rFonts w:ascii="Garamond" w:eastAsia="Garamond" w:hAnsi="Garamond" w:cs="Garamond"/>
          <w:sz w:val="26"/>
          <w:szCs w:val="26"/>
        </w:rPr>
        <w:t>ELETRÔNICO DJe092 DIVULG 10-05-2012 PUBLIC 11-05-2012)</w:t>
      </w:r>
    </w:p>
    <w:p w14:paraId="3995C4F1" w14:textId="77777777" w:rsidR="00826C1A" w:rsidRPr="005218CD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41B1180F" w14:textId="77777777" w:rsidR="00826C1A" w:rsidRPr="005218CD" w:rsidRDefault="00826C1A" w:rsidP="00826C1A">
      <w:pPr>
        <w:spacing w:after="160" w:line="360" w:lineRule="auto"/>
        <w:ind w:left="2160"/>
        <w:jc w:val="both"/>
        <w:rPr>
          <w:rFonts w:ascii="Garamond" w:eastAsia="Garamond" w:hAnsi="Garamond" w:cs="Garamond"/>
          <w:sz w:val="26"/>
          <w:szCs w:val="26"/>
        </w:rPr>
      </w:pPr>
      <w:r w:rsidRPr="005218CD">
        <w:rPr>
          <w:rFonts w:ascii="Garamond" w:eastAsia="Garamond" w:hAnsi="Garamond" w:cs="Garamond"/>
          <w:sz w:val="26"/>
          <w:szCs w:val="26"/>
        </w:rPr>
        <w:t>EMENTA Agravo regimental no agravo de instrumento. Constitucional. Competência legislativa dos Municípios. Tempo</w:t>
      </w:r>
      <w:r>
        <w:rPr>
          <w:rFonts w:ascii="Garamond" w:eastAsia="Garamond" w:hAnsi="Garamond" w:cs="Garamond"/>
          <w:sz w:val="26"/>
          <w:szCs w:val="26"/>
        </w:rPr>
        <w:t xml:space="preserve"> </w:t>
      </w:r>
      <w:r w:rsidRPr="005218CD">
        <w:rPr>
          <w:rFonts w:ascii="Garamond" w:eastAsia="Garamond" w:hAnsi="Garamond" w:cs="Garamond"/>
          <w:sz w:val="26"/>
          <w:szCs w:val="26"/>
        </w:rPr>
        <w:t>de espera. Atendimento. Agências bancárias. Assunto de interesse local. Normas de proteção ao consumidor. Precedentes.</w:t>
      </w:r>
    </w:p>
    <w:p w14:paraId="41F4CE5E" w14:textId="77777777" w:rsidR="00826C1A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679DBA99" w14:textId="77777777" w:rsidR="00826C1A" w:rsidRPr="005218CD" w:rsidRDefault="00826C1A" w:rsidP="00826C1A">
      <w:pPr>
        <w:spacing w:after="160" w:line="360" w:lineRule="auto"/>
        <w:ind w:left="2160"/>
        <w:jc w:val="both"/>
        <w:rPr>
          <w:rFonts w:ascii="Garamond" w:eastAsia="Garamond" w:hAnsi="Garamond" w:cs="Garamond"/>
          <w:sz w:val="26"/>
          <w:szCs w:val="26"/>
        </w:rPr>
      </w:pPr>
      <w:r w:rsidRPr="005218CD">
        <w:rPr>
          <w:rFonts w:ascii="Garamond" w:eastAsia="Garamond" w:hAnsi="Garamond" w:cs="Garamond"/>
          <w:sz w:val="26"/>
          <w:szCs w:val="26"/>
        </w:rPr>
        <w:t>1. É pacífica a jurisprudência desta Corte de que os Municípios detêm competência para legislar sobre o tempo máximo de espera</w:t>
      </w:r>
      <w:r>
        <w:rPr>
          <w:rFonts w:ascii="Garamond" w:eastAsia="Garamond" w:hAnsi="Garamond" w:cs="Garamond"/>
          <w:sz w:val="26"/>
          <w:szCs w:val="26"/>
        </w:rPr>
        <w:t xml:space="preserve"> </w:t>
      </w:r>
      <w:r w:rsidRPr="005218CD">
        <w:rPr>
          <w:rFonts w:ascii="Garamond" w:eastAsia="Garamond" w:hAnsi="Garamond" w:cs="Garamond"/>
          <w:sz w:val="26"/>
          <w:szCs w:val="26"/>
        </w:rPr>
        <w:t>por atendimento nas agências bancárias, uma vez que essa questão é de interesse local e diz respeito às normas de proteção</w:t>
      </w:r>
      <w:r>
        <w:rPr>
          <w:rFonts w:ascii="Garamond" w:eastAsia="Garamond" w:hAnsi="Garamond" w:cs="Garamond"/>
          <w:sz w:val="26"/>
          <w:szCs w:val="26"/>
        </w:rPr>
        <w:t xml:space="preserve"> </w:t>
      </w:r>
      <w:r w:rsidRPr="005218CD">
        <w:rPr>
          <w:rFonts w:ascii="Garamond" w:eastAsia="Garamond" w:hAnsi="Garamond" w:cs="Garamond"/>
          <w:sz w:val="26"/>
          <w:szCs w:val="26"/>
        </w:rPr>
        <w:t>das relações de consumo, não se confundindo com a</w:t>
      </w:r>
      <w:proofErr w:type="gramStart"/>
      <w:r w:rsidRPr="005218CD">
        <w:rPr>
          <w:rFonts w:ascii="Garamond" w:eastAsia="Garamond" w:hAnsi="Garamond" w:cs="Garamond"/>
          <w:sz w:val="26"/>
          <w:szCs w:val="26"/>
        </w:rPr>
        <w:t xml:space="preserve"> </w:t>
      </w:r>
      <w:r>
        <w:rPr>
          <w:rFonts w:ascii="Garamond" w:eastAsia="Garamond" w:hAnsi="Garamond" w:cs="Garamond"/>
          <w:sz w:val="26"/>
          <w:szCs w:val="26"/>
        </w:rPr>
        <w:t xml:space="preserve"> </w:t>
      </w:r>
      <w:proofErr w:type="gramEnd"/>
      <w:r w:rsidRPr="005218CD">
        <w:rPr>
          <w:rFonts w:ascii="Garamond" w:eastAsia="Garamond" w:hAnsi="Garamond" w:cs="Garamond"/>
          <w:sz w:val="26"/>
          <w:szCs w:val="26"/>
        </w:rPr>
        <w:t>atividade- fim das instituições bancárias. 2. Agravo regimental não provido.</w:t>
      </w:r>
    </w:p>
    <w:p w14:paraId="290C603E" w14:textId="77777777" w:rsidR="00826C1A" w:rsidRDefault="00826C1A" w:rsidP="00826C1A">
      <w:pPr>
        <w:spacing w:after="160" w:line="360" w:lineRule="auto"/>
        <w:ind w:left="2160"/>
        <w:jc w:val="both"/>
        <w:rPr>
          <w:rFonts w:ascii="Garamond" w:eastAsia="Garamond" w:hAnsi="Garamond" w:cs="Garamond"/>
          <w:sz w:val="26"/>
          <w:szCs w:val="26"/>
        </w:rPr>
      </w:pPr>
      <w:r w:rsidRPr="005218CD">
        <w:rPr>
          <w:rFonts w:ascii="Garamond" w:eastAsia="Garamond" w:hAnsi="Garamond" w:cs="Garamond"/>
          <w:sz w:val="26"/>
          <w:szCs w:val="26"/>
        </w:rPr>
        <w:t xml:space="preserve">(AI 495187 </w:t>
      </w:r>
      <w:proofErr w:type="spellStart"/>
      <w:proofErr w:type="gramStart"/>
      <w:r w:rsidRPr="005218CD">
        <w:rPr>
          <w:rFonts w:ascii="Garamond" w:eastAsia="Garamond" w:hAnsi="Garamond" w:cs="Garamond"/>
          <w:sz w:val="26"/>
          <w:szCs w:val="26"/>
        </w:rPr>
        <w:t>AgR</w:t>
      </w:r>
      <w:proofErr w:type="spellEnd"/>
      <w:proofErr w:type="gramEnd"/>
      <w:r w:rsidRPr="005218CD">
        <w:rPr>
          <w:rFonts w:ascii="Garamond" w:eastAsia="Garamond" w:hAnsi="Garamond" w:cs="Garamond"/>
          <w:sz w:val="26"/>
          <w:szCs w:val="26"/>
        </w:rPr>
        <w:t>, Relator(a): Min. DIAS TOFFOLI, Primeira Turma, julgado em 30/08/2011, DJe-195 DIVULG 10- 10-2011</w:t>
      </w:r>
      <w:r>
        <w:rPr>
          <w:rFonts w:ascii="Garamond" w:eastAsia="Garamond" w:hAnsi="Garamond" w:cs="Garamond"/>
          <w:sz w:val="26"/>
          <w:szCs w:val="26"/>
        </w:rPr>
        <w:t xml:space="preserve"> - </w:t>
      </w:r>
      <w:r w:rsidRPr="005218CD">
        <w:rPr>
          <w:rFonts w:ascii="Garamond" w:eastAsia="Garamond" w:hAnsi="Garamond" w:cs="Garamond"/>
          <w:sz w:val="26"/>
          <w:szCs w:val="26"/>
        </w:rPr>
        <w:t>PUBLIC 11-10-2011 EMEN</w:t>
      </w:r>
      <w:r>
        <w:rPr>
          <w:rFonts w:ascii="Garamond" w:eastAsia="Garamond" w:hAnsi="Garamond" w:cs="Garamond"/>
          <w:sz w:val="26"/>
          <w:szCs w:val="26"/>
        </w:rPr>
        <w:t>T VOL-02605-02 PP-00242)</w:t>
      </w:r>
    </w:p>
    <w:p w14:paraId="5AD4EA23" w14:textId="77777777" w:rsidR="00826C1A" w:rsidRPr="005218CD" w:rsidRDefault="00826C1A" w:rsidP="00826C1A">
      <w:pPr>
        <w:spacing w:after="160" w:line="360" w:lineRule="auto"/>
        <w:ind w:left="2160"/>
        <w:jc w:val="both"/>
        <w:rPr>
          <w:rFonts w:ascii="Garamond" w:eastAsia="Garamond" w:hAnsi="Garamond" w:cs="Garamond"/>
          <w:sz w:val="26"/>
          <w:szCs w:val="26"/>
        </w:rPr>
      </w:pPr>
    </w:p>
    <w:p w14:paraId="352722B9" w14:textId="77777777" w:rsidR="00826C1A" w:rsidRDefault="00826C1A" w:rsidP="00826C1A">
      <w:pPr>
        <w:spacing w:after="160" w:line="360" w:lineRule="auto"/>
        <w:ind w:left="2160"/>
        <w:jc w:val="both"/>
        <w:rPr>
          <w:rFonts w:ascii="Garamond" w:eastAsia="Garamond" w:hAnsi="Garamond" w:cs="Garamond"/>
          <w:sz w:val="26"/>
          <w:szCs w:val="26"/>
        </w:rPr>
      </w:pPr>
      <w:r w:rsidRPr="005218CD">
        <w:rPr>
          <w:rFonts w:ascii="Garamond" w:eastAsia="Garamond" w:hAnsi="Garamond" w:cs="Garamond"/>
          <w:sz w:val="26"/>
          <w:szCs w:val="26"/>
        </w:rPr>
        <w:t xml:space="preserve">EMENTA: Agravo regimental em recurso extraordinário. 2. </w:t>
      </w:r>
      <w:r>
        <w:rPr>
          <w:rFonts w:ascii="Garamond" w:eastAsia="Garamond" w:hAnsi="Garamond" w:cs="Garamond"/>
          <w:sz w:val="26"/>
          <w:szCs w:val="26"/>
        </w:rPr>
        <w:t xml:space="preserve"> </w:t>
      </w:r>
      <w:r w:rsidRPr="005218CD">
        <w:rPr>
          <w:rFonts w:ascii="Garamond" w:eastAsia="Garamond" w:hAnsi="Garamond" w:cs="Garamond"/>
          <w:sz w:val="26"/>
          <w:szCs w:val="26"/>
        </w:rPr>
        <w:t>Recurso que não demonstra o desacerto da decisão agravada, proferida em consonância com entendimento desta Corte. 3. Agências bancárias. Instalação de bebedouros e sanitários. Competência legislativa municipal. Interesse local. Precedentes.</w:t>
      </w:r>
      <w:r>
        <w:rPr>
          <w:rFonts w:ascii="Garamond" w:eastAsia="Garamond" w:hAnsi="Garamond" w:cs="Garamond"/>
          <w:sz w:val="26"/>
          <w:szCs w:val="26"/>
        </w:rPr>
        <w:t xml:space="preserve"> </w:t>
      </w:r>
      <w:r w:rsidRPr="005218CD">
        <w:rPr>
          <w:rFonts w:ascii="Garamond" w:eastAsia="Garamond" w:hAnsi="Garamond" w:cs="Garamond"/>
          <w:sz w:val="26"/>
          <w:szCs w:val="26"/>
        </w:rPr>
        <w:t xml:space="preserve">4. Agravo regimental a que se nega provimento. (RE 418492 Câmara Municipal de São Paulo Parecer - PL 0336/2016 Secretaria de Documentação Página 2 de </w:t>
      </w:r>
      <w:proofErr w:type="gramStart"/>
      <w:r w:rsidRPr="005218CD">
        <w:rPr>
          <w:rFonts w:ascii="Garamond" w:eastAsia="Garamond" w:hAnsi="Garamond" w:cs="Garamond"/>
          <w:sz w:val="26"/>
          <w:szCs w:val="26"/>
        </w:rPr>
        <w:t>4</w:t>
      </w:r>
      <w:proofErr w:type="gramEnd"/>
      <w:r w:rsidRPr="005218CD">
        <w:rPr>
          <w:rFonts w:ascii="Garamond" w:eastAsia="Garamond" w:hAnsi="Garamond" w:cs="Garamond"/>
          <w:sz w:val="26"/>
          <w:szCs w:val="26"/>
        </w:rPr>
        <w:t xml:space="preserve"> Disponibilizado pela</w:t>
      </w:r>
      <w:r>
        <w:rPr>
          <w:rFonts w:ascii="Garamond" w:eastAsia="Garamond" w:hAnsi="Garamond" w:cs="Garamond"/>
          <w:sz w:val="26"/>
          <w:szCs w:val="26"/>
        </w:rPr>
        <w:t xml:space="preserve"> </w:t>
      </w:r>
      <w:r w:rsidRPr="005218CD">
        <w:rPr>
          <w:rFonts w:ascii="Garamond" w:eastAsia="Garamond" w:hAnsi="Garamond" w:cs="Garamond"/>
          <w:sz w:val="26"/>
          <w:szCs w:val="26"/>
        </w:rPr>
        <w:t xml:space="preserve">Equipe de Documentação do Legislativo </w:t>
      </w:r>
      <w:proofErr w:type="spellStart"/>
      <w:r w:rsidRPr="005218CD">
        <w:rPr>
          <w:rFonts w:ascii="Garamond" w:eastAsia="Garamond" w:hAnsi="Garamond" w:cs="Garamond"/>
          <w:sz w:val="26"/>
          <w:szCs w:val="26"/>
        </w:rPr>
        <w:t>AgR</w:t>
      </w:r>
      <w:proofErr w:type="spellEnd"/>
      <w:r w:rsidRPr="005218CD">
        <w:rPr>
          <w:rFonts w:ascii="Garamond" w:eastAsia="Garamond" w:hAnsi="Garamond" w:cs="Garamond"/>
          <w:sz w:val="26"/>
          <w:szCs w:val="26"/>
        </w:rPr>
        <w:t>, Relator(a): Min. GILMAR MENDES, Segunda Turma, julgado em 13/12/2005, DJ 03-03- 2006 PP-00087 EMENT VOL-02223-03 PP-00506)</w:t>
      </w:r>
    </w:p>
    <w:p w14:paraId="396BDD29" w14:textId="77777777" w:rsidR="00826C1A" w:rsidRPr="005218CD" w:rsidRDefault="00826C1A" w:rsidP="00826C1A">
      <w:pPr>
        <w:spacing w:after="160" w:line="360" w:lineRule="auto"/>
        <w:ind w:left="2160"/>
        <w:jc w:val="both"/>
        <w:rPr>
          <w:rFonts w:ascii="Garamond" w:eastAsia="Garamond" w:hAnsi="Garamond" w:cs="Garamond"/>
          <w:sz w:val="26"/>
          <w:szCs w:val="26"/>
        </w:rPr>
      </w:pPr>
    </w:p>
    <w:p w14:paraId="7A105272" w14:textId="77777777" w:rsidR="00826C1A" w:rsidRPr="005218CD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5F37D679" w14:textId="77777777" w:rsidR="00826C1A" w:rsidRPr="005218CD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 </w:t>
      </w: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  <w:sz w:val="26"/>
          <w:szCs w:val="26"/>
        </w:rPr>
        <w:tab/>
        <w:t>Diante do exposto, e c</w:t>
      </w:r>
      <w:r w:rsidRPr="005218CD">
        <w:rPr>
          <w:rFonts w:ascii="Garamond" w:eastAsia="Garamond" w:hAnsi="Garamond" w:cs="Garamond"/>
          <w:sz w:val="26"/>
          <w:szCs w:val="26"/>
        </w:rPr>
        <w:t xml:space="preserve">onsiderando a legalidade, constitucionalidade e relevância do presente </w:t>
      </w:r>
      <w:proofErr w:type="gramStart"/>
      <w:r w:rsidRPr="005218CD">
        <w:rPr>
          <w:rFonts w:ascii="Garamond" w:eastAsia="Garamond" w:hAnsi="Garamond" w:cs="Garamond"/>
          <w:sz w:val="26"/>
          <w:szCs w:val="26"/>
        </w:rPr>
        <w:t>projeto</w:t>
      </w:r>
      <w:proofErr w:type="gramEnd"/>
      <w:r w:rsidRPr="005218CD">
        <w:rPr>
          <w:rFonts w:ascii="Garamond" w:eastAsia="Garamond" w:hAnsi="Garamond" w:cs="Garamond"/>
          <w:sz w:val="26"/>
          <w:szCs w:val="26"/>
        </w:rPr>
        <w:t xml:space="preserve"> de lei, resta evidente a necessidade de legislarmos com o objetivo de garantir à pessoa com deficiência sua inserção na vida social e econômica</w:t>
      </w:r>
      <w:r>
        <w:rPr>
          <w:rFonts w:ascii="Garamond" w:eastAsia="Garamond" w:hAnsi="Garamond" w:cs="Garamond"/>
          <w:sz w:val="26"/>
          <w:szCs w:val="26"/>
        </w:rPr>
        <w:t xml:space="preserve"> bem como assegurar o direito à </w:t>
      </w:r>
      <w:r w:rsidRPr="005218CD">
        <w:rPr>
          <w:rFonts w:ascii="Garamond" w:eastAsia="Garamond" w:hAnsi="Garamond" w:cs="Garamond"/>
          <w:sz w:val="26"/>
          <w:szCs w:val="26"/>
        </w:rPr>
        <w:t xml:space="preserve">comunicação por meio das </w:t>
      </w:r>
      <w:r>
        <w:rPr>
          <w:rFonts w:ascii="Garamond" w:eastAsia="Garamond" w:hAnsi="Garamond" w:cs="Garamond"/>
          <w:sz w:val="26"/>
          <w:szCs w:val="26"/>
        </w:rPr>
        <w:t>adaptações que são necessárias.</w:t>
      </w:r>
    </w:p>
    <w:p w14:paraId="7C2BD1EB" w14:textId="77777777" w:rsidR="00826C1A" w:rsidRPr="005218CD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</w:t>
      </w: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  <w:sz w:val="26"/>
          <w:szCs w:val="26"/>
        </w:rPr>
        <w:tab/>
      </w:r>
      <w:r w:rsidRPr="005218CD">
        <w:rPr>
          <w:rFonts w:ascii="Garamond" w:eastAsia="Garamond" w:hAnsi="Garamond" w:cs="Garamond"/>
          <w:sz w:val="26"/>
          <w:szCs w:val="26"/>
        </w:rPr>
        <w:t xml:space="preserve">Solicito, portanto, </w:t>
      </w:r>
      <w:proofErr w:type="gramStart"/>
      <w:r w:rsidRPr="005218CD">
        <w:rPr>
          <w:rFonts w:ascii="Garamond" w:eastAsia="Garamond" w:hAnsi="Garamond" w:cs="Garamond"/>
          <w:sz w:val="26"/>
          <w:szCs w:val="26"/>
        </w:rPr>
        <w:t xml:space="preserve">apoio dos parlamentares representantes desta Casa </w:t>
      </w:r>
      <w:r>
        <w:rPr>
          <w:rFonts w:ascii="Garamond" w:eastAsia="Garamond" w:hAnsi="Garamond" w:cs="Garamond"/>
          <w:sz w:val="26"/>
          <w:szCs w:val="26"/>
        </w:rPr>
        <w:t xml:space="preserve">Legislativa </w:t>
      </w:r>
      <w:r w:rsidRPr="005218CD">
        <w:rPr>
          <w:rFonts w:ascii="Garamond" w:eastAsia="Garamond" w:hAnsi="Garamond" w:cs="Garamond"/>
          <w:sz w:val="26"/>
          <w:szCs w:val="26"/>
        </w:rPr>
        <w:t>para apreciação e aprovação do presente projeto</w:t>
      </w:r>
      <w:proofErr w:type="gramEnd"/>
      <w:r w:rsidRPr="005218CD">
        <w:rPr>
          <w:rFonts w:ascii="Garamond" w:eastAsia="Garamond" w:hAnsi="Garamond" w:cs="Garamond"/>
          <w:sz w:val="26"/>
          <w:szCs w:val="26"/>
        </w:rPr>
        <w:t xml:space="preserve"> de lei.</w:t>
      </w:r>
    </w:p>
    <w:p w14:paraId="38212F24" w14:textId="77777777" w:rsidR="00826C1A" w:rsidRPr="005218CD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6C1A3AD6" w14:textId="77777777" w:rsidR="00826C1A" w:rsidRPr="005218CD" w:rsidRDefault="00826C1A" w:rsidP="00826C1A">
      <w:pPr>
        <w:spacing w:after="160" w:line="360" w:lineRule="auto"/>
        <w:jc w:val="center"/>
        <w:rPr>
          <w:rFonts w:ascii="Garamond" w:eastAsia="Garamond" w:hAnsi="Garamond" w:cs="Garamond"/>
          <w:sz w:val="26"/>
          <w:szCs w:val="26"/>
        </w:rPr>
      </w:pPr>
      <w:r w:rsidRPr="005218CD">
        <w:rPr>
          <w:rFonts w:ascii="Garamond" w:eastAsia="Garamond" w:hAnsi="Garamond" w:cs="Garamond"/>
          <w:sz w:val="26"/>
          <w:szCs w:val="26"/>
        </w:rPr>
        <w:t>Câmara Municipal de Niterói, 17 de fevereiro de 2025.</w:t>
      </w:r>
    </w:p>
    <w:p w14:paraId="45501DE0" w14:textId="77777777" w:rsidR="00826C1A" w:rsidRPr="005218CD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2D96F710" w14:textId="77777777" w:rsidR="00826C1A" w:rsidRPr="005218CD" w:rsidRDefault="00826C1A" w:rsidP="00826C1A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14:paraId="1390EEBE" w14:textId="77777777" w:rsidR="00826C1A" w:rsidRDefault="00826C1A" w:rsidP="00826C1A">
      <w:pPr>
        <w:spacing w:after="160" w:line="360" w:lineRule="auto"/>
        <w:jc w:val="center"/>
        <w:rPr>
          <w:rFonts w:ascii="Garamond" w:eastAsia="Garamond" w:hAnsi="Garamond" w:cs="Garamond"/>
          <w:sz w:val="26"/>
          <w:szCs w:val="26"/>
        </w:rPr>
      </w:pPr>
      <w:r w:rsidRPr="005218CD">
        <w:rPr>
          <w:rFonts w:ascii="Garamond" w:eastAsia="Garamond" w:hAnsi="Garamond" w:cs="Garamond"/>
          <w:sz w:val="26"/>
          <w:szCs w:val="26"/>
        </w:rPr>
        <w:t>Vereador FAEL</w:t>
      </w:r>
    </w:p>
    <w:p w14:paraId="42015F10" w14:textId="77777777" w:rsidR="00826C1A" w:rsidRPr="00BD2335" w:rsidRDefault="00826C1A" w:rsidP="00AF06A7">
      <w:pPr>
        <w:spacing w:after="160" w:line="278" w:lineRule="auto"/>
        <w:rPr>
          <w:rFonts w:ascii="Tahoma" w:eastAsia="Garamond" w:hAnsi="Tahoma" w:cs="Tahoma"/>
          <w:bCs/>
          <w:sz w:val="22"/>
          <w:szCs w:val="22"/>
        </w:rPr>
      </w:pPr>
    </w:p>
    <w:sectPr w:rsidR="00826C1A" w:rsidRPr="00BD2335" w:rsidSect="00C9230C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9FBE90" w14:textId="77777777" w:rsidR="00542CB5" w:rsidRDefault="00542CB5">
      <w:r>
        <w:separator/>
      </w:r>
    </w:p>
  </w:endnote>
  <w:endnote w:type="continuationSeparator" w:id="0">
    <w:p w14:paraId="004DB3DE" w14:textId="77777777" w:rsidR="00542CB5" w:rsidRDefault="00542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16A4C0" w14:textId="711A63DE" w:rsidR="005244F8" w:rsidRPr="00B87F84" w:rsidRDefault="00B87F84" w:rsidP="00B87F84">
    <w:pPr>
      <w:pStyle w:val="Rodap"/>
      <w:jc w:val="center"/>
      <w:rPr>
        <w:rFonts w:asciiTheme="minorHAnsi" w:eastAsia="Garamond" w:hAnsiTheme="minorHAnsi" w:cstheme="minorHAnsi"/>
        <w:sz w:val="20"/>
        <w:szCs w:val="20"/>
      </w:rPr>
    </w:pPr>
    <w:r w:rsidRPr="00B87F84">
      <w:rPr>
        <w:rFonts w:asciiTheme="minorHAnsi" w:hAnsiTheme="minorHAnsi" w:cstheme="minorHAnsi"/>
      </w:rPr>
      <w:t>Av. Ernani do Amaral Peixoto, 625 – Gabinete 47 - Centro, Niterói - RJ, 24020-075</w:t>
    </w:r>
    <w:r w:rsidRPr="00B87F84">
      <w:rPr>
        <w:rFonts w:asciiTheme="minorHAnsi" w:hAnsiTheme="minorHAnsi" w:cstheme="minorHAnsi"/>
      </w:rPr>
      <w:br/>
    </w:r>
    <w:hyperlink r:id="rId1" w:history="1">
      <w:r w:rsidRPr="00B87F84">
        <w:rPr>
          <w:rStyle w:val="Hyperlink"/>
          <w:rFonts w:asciiTheme="minorHAnsi" w:eastAsia="Garamond" w:hAnsiTheme="minorHAnsi" w:cstheme="minorHAnsi"/>
          <w:color w:val="auto"/>
          <w:sz w:val="20"/>
          <w:szCs w:val="20"/>
        </w:rPr>
        <w:t>contato@vereadorfael.com.br</w:t>
      </w:r>
    </w:hyperlink>
  </w:p>
  <w:p w14:paraId="76DF053B" w14:textId="1C6B4B9A" w:rsidR="00B87F84" w:rsidRPr="00B87F84" w:rsidRDefault="00B87F8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Theme="minorHAnsi" w:eastAsia="Garamond" w:hAnsiTheme="minorHAnsi" w:cstheme="minorHAnsi"/>
        <w:sz w:val="20"/>
        <w:szCs w:val="20"/>
      </w:rPr>
    </w:pPr>
    <w:r w:rsidRPr="00B87F84">
      <w:rPr>
        <w:rFonts w:asciiTheme="minorHAnsi" w:eastAsia="Garamond" w:hAnsiTheme="minorHAnsi" w:cstheme="minorHAnsi"/>
        <w:sz w:val="20"/>
        <w:szCs w:val="20"/>
      </w:rPr>
      <w:t>21 98655-4448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B52184" w14:textId="77777777" w:rsidR="00542CB5" w:rsidRDefault="00542CB5">
      <w:r>
        <w:separator/>
      </w:r>
    </w:p>
  </w:footnote>
  <w:footnote w:type="continuationSeparator" w:id="0">
    <w:p w14:paraId="4BAAECFD" w14:textId="77777777" w:rsidR="00542CB5" w:rsidRDefault="00542C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D990C0" w14:textId="0FECAC77" w:rsidR="005244F8" w:rsidRDefault="00326DBA">
    <w:pPr>
      <w:spacing w:line="360" w:lineRule="auto"/>
      <w:jc w:val="center"/>
    </w:pPr>
    <w:r>
      <w:rPr>
        <w:noProof/>
      </w:rPr>
      <w:drawing>
        <wp:inline distT="0" distB="0" distL="0" distR="0" wp14:anchorId="05A11426" wp14:editId="0F8EA1CA">
          <wp:extent cx="784860" cy="973230"/>
          <wp:effectExtent l="0" t="0" r="0" b="0"/>
          <wp:docPr id="461685099" name="Imagem 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1685099" name="Imagem 1" descr="Logotip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073" cy="9858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92D96A" w14:textId="77777777" w:rsidR="005244F8" w:rsidRDefault="0031718D">
    <w:pPr>
      <w:spacing w:line="360" w:lineRule="auto"/>
      <w:jc w:val="center"/>
      <w:rPr>
        <w:rFonts w:ascii="Arial" w:eastAsia="Arial" w:hAnsi="Arial" w:cs="Arial"/>
        <w:b/>
        <w:sz w:val="26"/>
        <w:szCs w:val="26"/>
      </w:rPr>
    </w:pPr>
    <w:r>
      <w:rPr>
        <w:rFonts w:ascii="Arial" w:eastAsia="Arial" w:hAnsi="Arial" w:cs="Arial"/>
        <w:b/>
        <w:sz w:val="26"/>
        <w:szCs w:val="26"/>
      </w:rPr>
      <w:t>Câmara Municipal de Niterói</w:t>
    </w:r>
  </w:p>
  <w:p w14:paraId="32AB6BCF" w14:textId="5B9366EF" w:rsidR="005244F8" w:rsidRDefault="0031718D">
    <w:pPr>
      <w:spacing w:line="360" w:lineRule="auto"/>
      <w:ind w:left="-284" w:right="-285"/>
      <w:jc w:val="center"/>
      <w:rPr>
        <w:rFonts w:ascii="Arial" w:eastAsia="Arial" w:hAnsi="Arial" w:cs="Arial"/>
        <w:b/>
        <w:sz w:val="26"/>
        <w:szCs w:val="26"/>
      </w:rPr>
    </w:pPr>
    <w:r>
      <w:rPr>
        <w:rFonts w:ascii="Arial" w:eastAsia="Arial" w:hAnsi="Arial" w:cs="Arial"/>
        <w:b/>
        <w:sz w:val="26"/>
        <w:szCs w:val="26"/>
      </w:rPr>
      <w:t xml:space="preserve">GABINETE DO VEREADOR </w:t>
    </w:r>
    <w:r w:rsidR="00B90E6D">
      <w:rPr>
        <w:rFonts w:ascii="Arial" w:eastAsia="Arial" w:hAnsi="Arial" w:cs="Arial"/>
        <w:b/>
        <w:sz w:val="26"/>
        <w:szCs w:val="26"/>
      </w:rPr>
      <w:t>FAEL</w:t>
    </w:r>
    <w:r>
      <w:rPr>
        <w:rFonts w:ascii="Arial" w:eastAsia="Arial" w:hAnsi="Arial" w:cs="Arial"/>
        <w:b/>
        <w:sz w:val="26"/>
        <w:szCs w:val="26"/>
      </w:rPr>
      <w:t xml:space="preserve"> – P</w:t>
    </w:r>
    <w:r w:rsidR="00B90E6D">
      <w:rPr>
        <w:rFonts w:ascii="Arial" w:eastAsia="Arial" w:hAnsi="Arial" w:cs="Arial"/>
        <w:b/>
        <w:sz w:val="26"/>
        <w:szCs w:val="26"/>
      </w:rPr>
      <w:t>V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85116"/>
    <w:multiLevelType w:val="multilevel"/>
    <w:tmpl w:val="F5CC4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2430AD"/>
    <w:multiLevelType w:val="multilevel"/>
    <w:tmpl w:val="41B88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4F8"/>
    <w:rsid w:val="000017CC"/>
    <w:rsid w:val="00036D42"/>
    <w:rsid w:val="00060E76"/>
    <w:rsid w:val="0006430E"/>
    <w:rsid w:val="000A26C8"/>
    <w:rsid w:val="000B5DEC"/>
    <w:rsid w:val="000D5B9A"/>
    <w:rsid w:val="00106438"/>
    <w:rsid w:val="0011002C"/>
    <w:rsid w:val="00152664"/>
    <w:rsid w:val="001938E4"/>
    <w:rsid w:val="001F1E48"/>
    <w:rsid w:val="00214037"/>
    <w:rsid w:val="00261730"/>
    <w:rsid w:val="002A27AE"/>
    <w:rsid w:val="002D7C95"/>
    <w:rsid w:val="002E008C"/>
    <w:rsid w:val="002E5AB5"/>
    <w:rsid w:val="002F766A"/>
    <w:rsid w:val="0031718D"/>
    <w:rsid w:val="00323B0F"/>
    <w:rsid w:val="00326DBA"/>
    <w:rsid w:val="003278F3"/>
    <w:rsid w:val="00397F52"/>
    <w:rsid w:val="004024F0"/>
    <w:rsid w:val="00421286"/>
    <w:rsid w:val="00435C04"/>
    <w:rsid w:val="00490196"/>
    <w:rsid w:val="00506A4B"/>
    <w:rsid w:val="00511174"/>
    <w:rsid w:val="005209E4"/>
    <w:rsid w:val="005244F8"/>
    <w:rsid w:val="00542CB5"/>
    <w:rsid w:val="00551899"/>
    <w:rsid w:val="005679A1"/>
    <w:rsid w:val="00580473"/>
    <w:rsid w:val="005A4DCA"/>
    <w:rsid w:val="005B1EAB"/>
    <w:rsid w:val="005E7409"/>
    <w:rsid w:val="00635860"/>
    <w:rsid w:val="00642095"/>
    <w:rsid w:val="006666D6"/>
    <w:rsid w:val="006F27B8"/>
    <w:rsid w:val="006F6537"/>
    <w:rsid w:val="00727F2E"/>
    <w:rsid w:val="007507B8"/>
    <w:rsid w:val="007542C6"/>
    <w:rsid w:val="007758DB"/>
    <w:rsid w:val="00790082"/>
    <w:rsid w:val="007B6CED"/>
    <w:rsid w:val="00826C1A"/>
    <w:rsid w:val="00845AE5"/>
    <w:rsid w:val="008B588A"/>
    <w:rsid w:val="008B701B"/>
    <w:rsid w:val="00914B2C"/>
    <w:rsid w:val="00995603"/>
    <w:rsid w:val="009B084F"/>
    <w:rsid w:val="00A41610"/>
    <w:rsid w:val="00A6514D"/>
    <w:rsid w:val="00A77609"/>
    <w:rsid w:val="00AF06A7"/>
    <w:rsid w:val="00AF137D"/>
    <w:rsid w:val="00AF5D30"/>
    <w:rsid w:val="00B238C3"/>
    <w:rsid w:val="00B53007"/>
    <w:rsid w:val="00B87F84"/>
    <w:rsid w:val="00B90E6D"/>
    <w:rsid w:val="00BB0561"/>
    <w:rsid w:val="00BD2335"/>
    <w:rsid w:val="00BE679D"/>
    <w:rsid w:val="00C21DCF"/>
    <w:rsid w:val="00C7003C"/>
    <w:rsid w:val="00C805A0"/>
    <w:rsid w:val="00C9230C"/>
    <w:rsid w:val="00C93A76"/>
    <w:rsid w:val="00CA4213"/>
    <w:rsid w:val="00CC0A1A"/>
    <w:rsid w:val="00CF522A"/>
    <w:rsid w:val="00D24D86"/>
    <w:rsid w:val="00D403CD"/>
    <w:rsid w:val="00D52660"/>
    <w:rsid w:val="00D5651D"/>
    <w:rsid w:val="00DD057E"/>
    <w:rsid w:val="00E01BDD"/>
    <w:rsid w:val="00E04A83"/>
    <w:rsid w:val="00E146AF"/>
    <w:rsid w:val="00E4574F"/>
    <w:rsid w:val="00E60F61"/>
    <w:rsid w:val="00E62EC8"/>
    <w:rsid w:val="00E90723"/>
    <w:rsid w:val="00EA1058"/>
    <w:rsid w:val="00EE59F9"/>
    <w:rsid w:val="00F1267B"/>
    <w:rsid w:val="00F27E7C"/>
    <w:rsid w:val="00F6380A"/>
    <w:rsid w:val="00F63E6C"/>
    <w:rsid w:val="00F93F6C"/>
    <w:rsid w:val="00FD08FA"/>
    <w:rsid w:val="00FE44B3"/>
    <w:rsid w:val="00FF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CFB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B06"/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A732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A732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A732E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7449B1"/>
    <w:rPr>
      <w:color w:val="0000FF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87F84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92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457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B06"/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A732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A732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A732E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7449B1"/>
    <w:rPr>
      <w:color w:val="0000FF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87F84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92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45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2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vereadorfael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1lcBItx260ktUboogqKMpIJRRPA==">AMUW2mUscVypZoicLZ4HdUHKnhbZV7qZcSWi3fpavTvnU5zWnx/7wDv8B9rL+xrPthqbUSDAVa2Gr7JQW5RyZGBaOKiYuDPol5eDvLGmzH9wAoXnyFnEv8/A/tIFGTGuGoL+WaeOZdjg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C82C28C-7208-418D-9E20-3EB9EF009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754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andrigo</dc:creator>
  <cp:lastModifiedBy>Vereador Fael</cp:lastModifiedBy>
  <cp:revision>2</cp:revision>
  <cp:lastPrinted>2025-02-05T20:11:00Z</cp:lastPrinted>
  <dcterms:created xsi:type="dcterms:W3CDTF">2025-02-17T15:19:00Z</dcterms:created>
  <dcterms:modified xsi:type="dcterms:W3CDTF">2025-02-17T15:19:00Z</dcterms:modified>
</cp:coreProperties>
</file>