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E929EC" w:rsidRDefault="00E929EC" w:rsidP="00E929E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>
        <w:rPr>
          <w:rFonts w:ascii="Times New Roman" w:hAnsi="Times New Roman" w:cs="Times New Roman"/>
          <w:b/>
          <w:sz w:val="24"/>
          <w:szCs w:val="24"/>
        </w:rPr>
        <w:t xml:space="preserve"> AO PROJETO DE LEI Nº 072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190855" w:rsidRDefault="00190855" w:rsidP="00E929EC">
      <w:pPr>
        <w:spacing w:after="0"/>
        <w:ind w:left="3544"/>
        <w:jc w:val="both"/>
        <w:rPr>
          <w:rFonts w:ascii="Times New Roman" w:hAnsi="Times New Roman" w:cs="Times New Roman"/>
          <w:b/>
          <w:szCs w:val="24"/>
          <w:u w:val="single"/>
        </w:rPr>
      </w:pPr>
    </w:p>
    <w:p w:rsidR="00E929EC" w:rsidRPr="00F563E7" w:rsidRDefault="00E929EC" w:rsidP="00E929EC">
      <w:pPr>
        <w:spacing w:after="0"/>
        <w:ind w:left="3544"/>
        <w:jc w:val="both"/>
        <w:rPr>
          <w:rFonts w:ascii="Times New Roman" w:hAnsi="Times New Roman" w:cs="Times New Roman"/>
          <w:b/>
          <w:i/>
          <w:szCs w:val="24"/>
        </w:rPr>
      </w:pPr>
      <w:r w:rsidRPr="00F563E7">
        <w:rPr>
          <w:rFonts w:ascii="Times New Roman" w:hAnsi="Times New Roman" w:cs="Times New Roman"/>
          <w:b/>
          <w:szCs w:val="24"/>
          <w:u w:val="single"/>
        </w:rPr>
        <w:t>Ementa:</w:t>
      </w:r>
      <w:r>
        <w:rPr>
          <w:rFonts w:ascii="Times New Roman" w:hAnsi="Times New Roman" w:cs="Times New Roman"/>
          <w:b/>
          <w:i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0"/>
          <w:szCs w:val="24"/>
        </w:rPr>
        <w:t>Acrescenta</w:t>
      </w:r>
      <w:r w:rsidRPr="00193DE5">
        <w:rPr>
          <w:rFonts w:ascii="Times New Roman" w:hAnsi="Times New Roman" w:cs="Times New Roman"/>
          <w:b/>
          <w:i/>
          <w:sz w:val="20"/>
          <w:szCs w:val="24"/>
        </w:rPr>
        <w:t xml:space="preserve"> a ação </w:t>
      </w:r>
      <w:r w:rsidR="00F07D47" w:rsidRPr="00F07D47">
        <w:rPr>
          <w:rFonts w:ascii="Times New Roman" w:hAnsi="Times New Roman" w:cs="Times New Roman"/>
          <w:b/>
          <w:i/>
          <w:sz w:val="20"/>
          <w:szCs w:val="24"/>
        </w:rPr>
        <w:t xml:space="preserve">realização da </w:t>
      </w:r>
      <w:r w:rsidR="00F0477A" w:rsidRPr="00F0477A">
        <w:rPr>
          <w:rFonts w:ascii="Times New Roman" w:hAnsi="Times New Roman" w:cs="Times New Roman"/>
          <w:b/>
          <w:i/>
          <w:sz w:val="20"/>
          <w:szCs w:val="24"/>
        </w:rPr>
        <w:t xml:space="preserve">Semana Municipal de Conscientização sobre a Síndrome de </w:t>
      </w:r>
      <w:proofErr w:type="spellStart"/>
      <w:r w:rsidR="00F0477A" w:rsidRPr="00F0477A">
        <w:rPr>
          <w:rFonts w:ascii="Times New Roman" w:hAnsi="Times New Roman" w:cs="Times New Roman"/>
          <w:b/>
          <w:i/>
          <w:sz w:val="20"/>
          <w:szCs w:val="24"/>
        </w:rPr>
        <w:t>Guillain-Barré</w:t>
      </w:r>
      <w:proofErr w:type="spellEnd"/>
      <w:r w:rsidRPr="00E929EC">
        <w:rPr>
          <w:rFonts w:ascii="Times New Roman" w:hAnsi="Times New Roman" w:cs="Times New Roman"/>
          <w:b/>
          <w:i/>
          <w:sz w:val="20"/>
          <w:szCs w:val="24"/>
        </w:rPr>
        <w:t xml:space="preserve">, </w:t>
      </w:r>
      <w:r>
        <w:rPr>
          <w:rFonts w:ascii="Times New Roman" w:hAnsi="Times New Roman" w:cs="Times New Roman"/>
          <w:b/>
          <w:i/>
          <w:sz w:val="20"/>
          <w:szCs w:val="24"/>
        </w:rPr>
        <w:t>ao</w:t>
      </w:r>
      <w:r w:rsidRPr="00193DE5">
        <w:rPr>
          <w:rFonts w:ascii="Times New Roman" w:hAnsi="Times New Roman" w:cs="Times New Roman"/>
          <w:b/>
          <w:i/>
          <w:sz w:val="20"/>
          <w:szCs w:val="24"/>
        </w:rPr>
        <w:t xml:space="preserve"> Anexo de Prioridades e Metas do Projeto de Lei de Diretrizes Orçamentárias para o exercício financeiro de 2025.</w:t>
      </w: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90855" w:rsidRDefault="0019085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E929EC" w:rsidRDefault="00E30945" w:rsidP="00E929EC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>-</w:t>
      </w:r>
      <w:r w:rsidR="00E929EC" w:rsidRPr="005149D7">
        <w:rPr>
          <w:rFonts w:ascii="Times New Roman" w:hAnsi="Times New Roman" w:cs="Times New Roman"/>
        </w:rPr>
        <w:t xml:space="preserve"> Fica adicionada ao An</w:t>
      </w:r>
      <w:r w:rsidR="00E929EC">
        <w:rPr>
          <w:rFonts w:ascii="Times New Roman" w:hAnsi="Times New Roman" w:cs="Times New Roman"/>
        </w:rPr>
        <w:t>exo de Metas e Prioridades no Projeto de Lei 072/2024 a ação abaixo:</w:t>
      </w:r>
    </w:p>
    <w:p w:rsidR="00E929EC" w:rsidRPr="007839F8" w:rsidRDefault="00E929EC" w:rsidP="00E929EC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10333" w:type="dxa"/>
        <w:tblInd w:w="-9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6"/>
        <w:gridCol w:w="1484"/>
        <w:gridCol w:w="2042"/>
        <w:gridCol w:w="1561"/>
        <w:gridCol w:w="2110"/>
      </w:tblGrid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F07D47" w:rsidP="00E929EC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F07D47">
              <w:rPr>
                <w:sz w:val="18"/>
                <w:szCs w:val="18"/>
              </w:rPr>
              <w:t>0133 | ATENÇÃO À SAÚDE</w:t>
            </w:r>
          </w:p>
        </w:tc>
      </w:tr>
      <w:tr w:rsidR="00E929EC" w:rsidRPr="00D4470D" w:rsidTr="00E929EC">
        <w:trPr>
          <w:trHeight w:val="285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F0477A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F0477A">
              <w:rPr>
                <w:rFonts w:eastAsia="Times New Roman" w:cstheme="minorHAnsi"/>
                <w:sz w:val="18"/>
                <w:szCs w:val="18"/>
                <w:lang w:eastAsia="pt-BR"/>
              </w:rPr>
              <w:t>SEMANA MUNICIPAL DE CONSCIENTIZAÇÃO SOBRE A SÍNDROME DE GUILLAIN-BARRÉ</w:t>
            </w:r>
          </w:p>
        </w:tc>
      </w:tr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F07D47" w:rsidP="00F0477A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F07D47">
              <w:rPr>
                <w:sz w:val="18"/>
                <w:szCs w:val="18"/>
              </w:rPr>
              <w:t xml:space="preserve">Realização de campanha de informação aos cidadãos conforme </w:t>
            </w:r>
            <w:r w:rsidR="00F0477A">
              <w:rPr>
                <w:sz w:val="18"/>
                <w:szCs w:val="18"/>
              </w:rPr>
              <w:t>Calendário Municipal</w:t>
            </w:r>
          </w:p>
        </w:tc>
      </w:tr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F07D47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F07D47">
              <w:rPr>
                <w:rFonts w:eastAsia="Times New Roman" w:cstheme="minorHAnsi"/>
                <w:sz w:val="18"/>
                <w:szCs w:val="18"/>
                <w:lang w:eastAsia="pt-BR"/>
              </w:rPr>
              <w:t>ATIVIDADE FINALÍSTICA</w:t>
            </w:r>
          </w:p>
        </w:tc>
        <w:tc>
          <w:tcPr>
            <w:tcW w:w="15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1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F07D47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F07D47">
              <w:rPr>
                <w:rFonts w:eastAsia="Times New Roman" w:cstheme="minorHAnsi"/>
                <w:sz w:val="18"/>
                <w:szCs w:val="18"/>
                <w:lang w:eastAsia="pt-BR"/>
              </w:rPr>
              <w:t>SAUDE</w:t>
            </w:r>
          </w:p>
        </w:tc>
      </w:tr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ORÇAMENTÁRIA/ÓRGÃO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F07D47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F07D47">
              <w:rPr>
                <w:rFonts w:eastAsia="Times New Roman" w:cstheme="minorHAnsi"/>
                <w:sz w:val="18"/>
                <w:szCs w:val="18"/>
                <w:lang w:eastAsia="pt-BR"/>
              </w:rPr>
              <w:t>FUNDO MUNICIPAL DE SAUDE</w:t>
            </w:r>
          </w:p>
        </w:tc>
        <w:tc>
          <w:tcPr>
            <w:tcW w:w="156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11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F07D47" w:rsidP="00E929EC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F07D47">
              <w:rPr>
                <w:sz w:val="18"/>
                <w:szCs w:val="18"/>
              </w:rPr>
              <w:t>ATENCAO BASICA</w:t>
            </w:r>
          </w:p>
        </w:tc>
      </w:tr>
      <w:tr w:rsidR="00E929EC" w:rsidRPr="00D4470D" w:rsidTr="00E929EC">
        <w:trPr>
          <w:trHeight w:val="311"/>
        </w:trPr>
        <w:tc>
          <w:tcPr>
            <w:tcW w:w="10333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</w:t>
            </w:r>
            <w:proofErr w:type="gramStart"/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O ORÇAMENTÁRIA</w:t>
            </w:r>
            <w:proofErr w:type="gramEnd"/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– ANO 2025</w:t>
            </w:r>
          </w:p>
        </w:tc>
      </w:tr>
      <w:tr w:rsidR="00E929EC" w:rsidRPr="00D4470D" w:rsidTr="00E929EC">
        <w:trPr>
          <w:trHeight w:val="435"/>
        </w:trPr>
        <w:tc>
          <w:tcPr>
            <w:tcW w:w="3136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E929EC" w:rsidRPr="00D4470D" w:rsidTr="00E929EC">
        <w:trPr>
          <w:trHeight w:val="311"/>
        </w:trPr>
        <w:tc>
          <w:tcPr>
            <w:tcW w:w="31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F07D47" w:rsidP="00E929EC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r w:rsidRPr="00F07D47">
              <w:rPr>
                <w:sz w:val="18"/>
                <w:szCs w:val="18"/>
              </w:rPr>
              <w:t>Campanha realizada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r w:rsidRPr="00D4470D">
              <w:rPr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proofErr w:type="gramStart"/>
            <w:r w:rsidRPr="00D4470D">
              <w:rPr>
                <w:sz w:val="18"/>
                <w:szCs w:val="18"/>
              </w:rPr>
              <w:t>1</w:t>
            </w:r>
            <w:proofErr w:type="gramEnd"/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6265D5" w:rsidP="006265D5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</w:t>
            </w:r>
            <w:r w:rsidR="00E929EC" w:rsidRPr="00D4470D">
              <w:rPr>
                <w:sz w:val="18"/>
                <w:szCs w:val="18"/>
              </w:rPr>
              <w:t>0.000,00</w:t>
            </w:r>
          </w:p>
        </w:tc>
      </w:tr>
    </w:tbl>
    <w:p w:rsidR="00E929EC" w:rsidRDefault="00E929EC" w:rsidP="00E929EC">
      <w:pPr>
        <w:spacing w:after="120"/>
        <w:jc w:val="both"/>
        <w:rPr>
          <w:rFonts w:ascii="Times New Roman" w:hAnsi="Times New Roman" w:cs="Times New Roman"/>
          <w:b/>
        </w:rPr>
      </w:pPr>
    </w:p>
    <w:p w:rsidR="007D477D" w:rsidRPr="007839F8" w:rsidRDefault="007D477D" w:rsidP="007D477D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Os valores para a execução da ação acima, serão compensados conforme quadro abaixo:</w:t>
      </w:r>
    </w:p>
    <w:tbl>
      <w:tblPr>
        <w:tblW w:w="10207" w:type="dxa"/>
        <w:tblInd w:w="-74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246"/>
        <w:gridCol w:w="6961"/>
      </w:tblGrid>
      <w:tr w:rsidR="007D477D" w:rsidTr="007317B8">
        <w:trPr>
          <w:trHeight w:val="274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6265D5" w:rsidP="007317B8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6265D5">
              <w:rPr>
                <w:rFonts w:ascii="Calibri" w:eastAsia="Calibri" w:hAnsi="Calibri" w:cs="Calibri"/>
                <w:sz w:val="18"/>
                <w:szCs w:val="18"/>
              </w:rPr>
              <w:t>0138 | NITERÓI: DESTINO TURÍSTICO</w:t>
            </w:r>
          </w:p>
        </w:tc>
      </w:tr>
      <w:tr w:rsidR="007D477D" w:rsidTr="007317B8">
        <w:trPr>
          <w:trHeight w:val="274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6265D5" w:rsidP="007317B8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6265D5">
              <w:rPr>
                <w:rFonts w:ascii="Calibri" w:eastAsia="Calibri" w:hAnsi="Calibri" w:cs="Calibri"/>
                <w:sz w:val="18"/>
                <w:szCs w:val="18"/>
              </w:rPr>
              <w:t>6067 | REALIZAÇÃO DAS GRANDES FESTIVIDADES E EVENTOS DA CIDADE DE NITERÓI</w:t>
            </w:r>
          </w:p>
        </w:tc>
      </w:tr>
      <w:tr w:rsidR="007D477D" w:rsidTr="007317B8">
        <w:trPr>
          <w:trHeight w:val="300"/>
        </w:trPr>
        <w:tc>
          <w:tcPr>
            <w:tcW w:w="324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96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6265D5" w:rsidP="007317B8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6265D5">
              <w:rPr>
                <w:rFonts w:ascii="Calibri" w:eastAsia="Calibri" w:hAnsi="Calibri" w:cs="Calibri"/>
                <w:sz w:val="18"/>
                <w:szCs w:val="18"/>
              </w:rPr>
              <w:t>NITEROI EMPRESA DE LAZER E TURISMO - NELTUR</w:t>
            </w:r>
          </w:p>
        </w:tc>
      </w:tr>
      <w:tr w:rsidR="007D477D" w:rsidTr="007317B8">
        <w:trPr>
          <w:trHeight w:val="300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2025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6265D5" w:rsidP="007317B8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6265D5">
              <w:rPr>
                <w:rFonts w:eastAsia="Times New Roman"/>
                <w:sz w:val="18"/>
                <w:szCs w:val="18"/>
                <w:lang w:eastAsia="pt-BR"/>
              </w:rPr>
              <w:t>R$ 46.858.931,86</w:t>
            </w:r>
          </w:p>
        </w:tc>
      </w:tr>
      <w:tr w:rsidR="007D477D" w:rsidTr="007317B8">
        <w:trPr>
          <w:trHeight w:val="300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7D477D" w:rsidP="00F07D47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7D477D">
              <w:rPr>
                <w:rFonts w:eastAsia="Times New Roman"/>
                <w:sz w:val="18"/>
                <w:szCs w:val="18"/>
                <w:lang w:eastAsia="pt-BR"/>
              </w:rPr>
              <w:t xml:space="preserve">R$ </w:t>
            </w:r>
            <w:r w:rsidR="006265D5">
              <w:rPr>
                <w:rFonts w:eastAsia="Times New Roman"/>
                <w:sz w:val="18"/>
                <w:szCs w:val="18"/>
                <w:lang w:eastAsia="pt-BR"/>
              </w:rPr>
              <w:t>5</w:t>
            </w:r>
            <w:r w:rsidRPr="007D477D">
              <w:rPr>
                <w:rFonts w:eastAsia="Times New Roman"/>
                <w:sz w:val="18"/>
                <w:szCs w:val="18"/>
                <w:lang w:eastAsia="pt-BR"/>
              </w:rPr>
              <w:t>0.000,00</w:t>
            </w:r>
          </w:p>
        </w:tc>
      </w:tr>
    </w:tbl>
    <w:p w:rsidR="007D477D" w:rsidRDefault="007D477D" w:rsidP="007D477D">
      <w:pPr>
        <w:spacing w:after="120"/>
        <w:jc w:val="right"/>
        <w:rPr>
          <w:rFonts w:ascii="Times New Roman" w:hAnsi="Times New Roman" w:cs="Times New Roman"/>
          <w:b/>
        </w:rPr>
      </w:pPr>
    </w:p>
    <w:p w:rsidR="007D477D" w:rsidRDefault="007D477D" w:rsidP="00E929EC">
      <w:pPr>
        <w:pStyle w:val="Corpodetexto"/>
        <w:rPr>
          <w:sz w:val="20"/>
          <w:szCs w:val="20"/>
        </w:rPr>
      </w:pPr>
    </w:p>
    <w:p w:rsidR="00E929EC" w:rsidRDefault="00E929EC" w:rsidP="00E929EC">
      <w:pPr>
        <w:pStyle w:val="Corpodetexto"/>
        <w:rPr>
          <w:b/>
        </w:rPr>
      </w:pPr>
      <w:r>
        <w:rPr>
          <w:sz w:val="20"/>
          <w:szCs w:val="20"/>
        </w:rPr>
        <w:t>Sala de Sessões, 26 de junho de 2024.</w:t>
      </w:r>
    </w:p>
    <w:p w:rsidR="00E929EC" w:rsidRDefault="00E929EC" w:rsidP="00E929EC">
      <w:pPr>
        <w:spacing w:after="120"/>
        <w:jc w:val="center"/>
        <w:rPr>
          <w:rFonts w:ascii="Times New Roman" w:hAnsi="Times New Roman" w:cs="Times New Roman"/>
          <w:b/>
        </w:rPr>
      </w:pPr>
    </w:p>
    <w:p w:rsidR="00E929EC" w:rsidRPr="00260AF7" w:rsidRDefault="00E929EC" w:rsidP="00E929EC">
      <w:pPr>
        <w:pStyle w:val="Corpodetexto"/>
        <w:spacing w:line="240" w:lineRule="auto"/>
        <w:jc w:val="center"/>
        <w:rPr>
          <w:b/>
          <w:bCs/>
          <w:i/>
          <w:iCs/>
          <w:sz w:val="20"/>
          <w:szCs w:val="20"/>
        </w:rPr>
      </w:pPr>
      <w:r>
        <w:rPr>
          <w:b/>
          <w:noProof/>
          <w:sz w:val="20"/>
          <w:szCs w:val="20"/>
        </w:rPr>
        <w:drawing>
          <wp:inline distT="0" distB="0" distL="0" distR="0" wp14:anchorId="22AA9917" wp14:editId="05BFCD0B">
            <wp:extent cx="1333500" cy="476250"/>
            <wp:effectExtent l="0" t="0" r="0" b="0"/>
            <wp:docPr id="3" name="Imagem 3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9EC" w:rsidRPr="00260AF7" w:rsidRDefault="00E929EC" w:rsidP="00E929EC">
      <w:pPr>
        <w:pStyle w:val="Corpodetexto"/>
        <w:spacing w:line="240" w:lineRule="auto"/>
        <w:jc w:val="center"/>
        <w:rPr>
          <w:b/>
          <w:bCs/>
          <w:i/>
          <w:iCs/>
          <w:sz w:val="20"/>
          <w:szCs w:val="20"/>
        </w:rPr>
      </w:pPr>
      <w:r w:rsidRPr="00260AF7">
        <w:rPr>
          <w:b/>
          <w:bCs/>
          <w:i/>
          <w:iCs/>
          <w:sz w:val="20"/>
          <w:szCs w:val="20"/>
        </w:rPr>
        <w:t xml:space="preserve">Rodrigo </w:t>
      </w:r>
      <w:proofErr w:type="spellStart"/>
      <w:r w:rsidRPr="00260AF7">
        <w:rPr>
          <w:b/>
          <w:bCs/>
          <w:i/>
          <w:iCs/>
          <w:sz w:val="20"/>
          <w:szCs w:val="20"/>
        </w:rPr>
        <w:t>Flach</w:t>
      </w:r>
      <w:proofErr w:type="spellEnd"/>
      <w:r w:rsidRPr="00260AF7">
        <w:rPr>
          <w:b/>
          <w:bCs/>
          <w:i/>
          <w:iCs/>
          <w:sz w:val="20"/>
          <w:szCs w:val="20"/>
        </w:rPr>
        <w:t xml:space="preserve"> Farah</w:t>
      </w:r>
    </w:p>
    <w:p w:rsidR="00E929EC" w:rsidRDefault="00E929EC" w:rsidP="00E929EC">
      <w:pPr>
        <w:spacing w:after="0" w:line="240" w:lineRule="auto"/>
        <w:jc w:val="center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>Vereador</w:t>
      </w:r>
    </w:p>
    <w:p w:rsidR="00E929EC" w:rsidRDefault="00E929EC" w:rsidP="00E929EC">
      <w:pPr>
        <w:spacing w:after="0" w:line="240" w:lineRule="auto"/>
        <w:jc w:val="center"/>
        <w:rPr>
          <w:b/>
          <w:bCs/>
          <w:i/>
          <w:iCs/>
          <w:sz w:val="20"/>
          <w:szCs w:val="20"/>
        </w:rPr>
      </w:pPr>
    </w:p>
    <w:p w:rsidR="00190855" w:rsidRDefault="00190855" w:rsidP="00D4470D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D4470D" w:rsidRPr="000227FB" w:rsidRDefault="00D4470D" w:rsidP="00D4470D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0227FB">
        <w:rPr>
          <w:rFonts w:ascii="Times New Roman" w:hAnsi="Times New Roman" w:cs="Times New Roman"/>
          <w:b/>
          <w:u w:val="single"/>
        </w:rPr>
        <w:lastRenderedPageBreak/>
        <w:t>JUSTIFICATIVA:</w:t>
      </w:r>
    </w:p>
    <w:p w:rsidR="00D4470D" w:rsidRDefault="00D4470D" w:rsidP="00D4470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57B9" w:rsidRPr="003957B9" w:rsidRDefault="003957B9" w:rsidP="003957B9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3957B9">
        <w:rPr>
          <w:rFonts w:ascii="Times New Roman" w:hAnsi="Times New Roman" w:cs="Times New Roman"/>
          <w:i/>
          <w:sz w:val="23"/>
          <w:szCs w:val="23"/>
        </w:rPr>
        <w:t xml:space="preserve">A emenda à Lei de Diretrizes Orçamentárias (LDO) para o exercício financeiro de 2025 propõe a inclusão da ação "Realização da Semana Municipal de Conscientização sobre a Síndrome de </w:t>
      </w:r>
      <w:proofErr w:type="spellStart"/>
      <w:r w:rsidRPr="003957B9">
        <w:rPr>
          <w:rFonts w:ascii="Times New Roman" w:hAnsi="Times New Roman" w:cs="Times New Roman"/>
          <w:i/>
          <w:sz w:val="23"/>
          <w:szCs w:val="23"/>
        </w:rPr>
        <w:t>Guillain-Barré</w:t>
      </w:r>
      <w:proofErr w:type="spellEnd"/>
      <w:r w:rsidRPr="003957B9">
        <w:rPr>
          <w:rFonts w:ascii="Times New Roman" w:hAnsi="Times New Roman" w:cs="Times New Roman"/>
          <w:i/>
          <w:sz w:val="23"/>
          <w:szCs w:val="23"/>
        </w:rPr>
        <w:t xml:space="preserve">" no Anexo de Metas e Prioridades do projeto. Esta iniciativa tem como objetivo aumentar a conscientização sobre a Síndrome de </w:t>
      </w:r>
      <w:proofErr w:type="spellStart"/>
      <w:r w:rsidRPr="003957B9">
        <w:rPr>
          <w:rFonts w:ascii="Times New Roman" w:hAnsi="Times New Roman" w:cs="Times New Roman"/>
          <w:i/>
          <w:sz w:val="23"/>
          <w:szCs w:val="23"/>
        </w:rPr>
        <w:t>Guillain-Barré</w:t>
      </w:r>
      <w:proofErr w:type="spellEnd"/>
      <w:r w:rsidRPr="003957B9">
        <w:rPr>
          <w:rFonts w:ascii="Times New Roman" w:hAnsi="Times New Roman" w:cs="Times New Roman"/>
          <w:i/>
          <w:sz w:val="23"/>
          <w:szCs w:val="23"/>
        </w:rPr>
        <w:t xml:space="preserve"> (SGB), uma condição rara e grave que afeta o sistema nervoso periférico, podendo causar fraqueza muscular e paralisia.</w:t>
      </w:r>
    </w:p>
    <w:p w:rsidR="003957B9" w:rsidRPr="003957B9" w:rsidRDefault="003957B9" w:rsidP="003957B9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3957B9">
        <w:rPr>
          <w:rFonts w:ascii="Times New Roman" w:hAnsi="Times New Roman" w:cs="Times New Roman"/>
          <w:i/>
          <w:sz w:val="23"/>
          <w:szCs w:val="23"/>
        </w:rPr>
        <w:t>A realização de uma campanha de conscientização é fundamental para informar a população sobre os sintomas, causas, prevenção e tratamentos disponíveis para a SGB. Esta campanha, conforme previsto no Calendário Municipal, busca educar e sensibilizar os cidadãos, além de apoiar pacientes e suas famílias.</w:t>
      </w:r>
    </w:p>
    <w:p w:rsidR="003957B9" w:rsidRPr="003957B9" w:rsidRDefault="003957B9" w:rsidP="003957B9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3957B9">
        <w:rPr>
          <w:rFonts w:ascii="Times New Roman" w:hAnsi="Times New Roman" w:cs="Times New Roman"/>
          <w:i/>
          <w:sz w:val="23"/>
          <w:szCs w:val="23"/>
        </w:rPr>
        <w:t>A inclusão desta ação no Anexo de Metas e Prioridades da LDO 2025, com metas físicas e financeiras definidas, assegura a alocação de recursos necessários para a realização da campanha. A meta física proposta é de uma unidade de campanha realizada, com um investimento estimado em R$ 50.000,00. Este valor será utilizado para financiar atividades educativas, palestras, distribuição de materiais informativos e outras ações que promovam a conscientização sobre a síndrome.</w:t>
      </w:r>
    </w:p>
    <w:p w:rsidR="003957B9" w:rsidRPr="003957B9" w:rsidRDefault="003957B9" w:rsidP="003957B9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3957B9">
        <w:rPr>
          <w:rFonts w:ascii="Times New Roman" w:hAnsi="Times New Roman" w:cs="Times New Roman"/>
          <w:i/>
          <w:sz w:val="23"/>
          <w:szCs w:val="23"/>
        </w:rPr>
        <w:t>Para viabilizar financeiramente essa emenda, propõe-se a compensação através da redução de parte dos recursos destinados à realização de grandes festividades e eventos promovidos pela cidade de Niterói, conforme detalhado no artigo 2º da emenda. Esta medida evidencia o compromisso com a saúde pública e a importância de priorizar ações que impactem diretamente a qualidade de vida da população.</w:t>
      </w:r>
    </w:p>
    <w:p w:rsidR="00D4470D" w:rsidRDefault="003957B9" w:rsidP="003957B9">
      <w:pPr>
        <w:spacing w:after="0" w:line="360" w:lineRule="auto"/>
        <w:ind w:firstLine="851"/>
        <w:jc w:val="both"/>
        <w:rPr>
          <w:b/>
        </w:rPr>
      </w:pPr>
      <w:bookmarkStart w:id="0" w:name="_GoBack"/>
      <w:bookmarkEnd w:id="0"/>
      <w:r w:rsidRPr="003957B9">
        <w:rPr>
          <w:rFonts w:ascii="Times New Roman" w:hAnsi="Times New Roman" w:cs="Times New Roman"/>
          <w:i/>
          <w:sz w:val="23"/>
          <w:szCs w:val="23"/>
        </w:rPr>
        <w:t xml:space="preserve">Assim, a inclusão desta emenda na LDO 2025 não apenas fortalece as iniciativas de saúde pública no município, mas também demonstra uma gestão responsável e equilibrada dos recursos públicos. A Semana Municipal de Conscientização sobre a Síndrome de </w:t>
      </w:r>
      <w:proofErr w:type="spellStart"/>
      <w:r w:rsidRPr="003957B9">
        <w:rPr>
          <w:rFonts w:ascii="Times New Roman" w:hAnsi="Times New Roman" w:cs="Times New Roman"/>
          <w:i/>
          <w:sz w:val="23"/>
          <w:szCs w:val="23"/>
        </w:rPr>
        <w:t>Guillain-Barré</w:t>
      </w:r>
      <w:proofErr w:type="spellEnd"/>
      <w:r w:rsidRPr="003957B9">
        <w:rPr>
          <w:rFonts w:ascii="Times New Roman" w:hAnsi="Times New Roman" w:cs="Times New Roman"/>
          <w:i/>
          <w:sz w:val="23"/>
          <w:szCs w:val="23"/>
        </w:rPr>
        <w:t xml:space="preserve"> é uma ação essencial para promover a educação e a prevenção, contribuindo para a detecção precoce e o tratamento adequado da doença, beneficiando a comunidade como um todo.</w:t>
      </w:r>
    </w:p>
    <w:sectPr w:rsidR="00D4470D" w:rsidSect="00B675EE">
      <w:headerReference w:type="default" r:id="rId9"/>
      <w:footerReference w:type="default" r:id="rId10"/>
      <w:pgSz w:w="11906" w:h="16838"/>
      <w:pgMar w:top="1417" w:right="1701" w:bottom="1417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107D" w:rsidRDefault="000E107D" w:rsidP="006A59DA">
      <w:pPr>
        <w:spacing w:after="0" w:line="240" w:lineRule="auto"/>
      </w:pPr>
      <w:r>
        <w:separator/>
      </w:r>
    </w:p>
  </w:endnote>
  <w:endnote w:type="continuationSeparator" w:id="0">
    <w:p w:rsidR="000E107D" w:rsidRDefault="000E107D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80" w:type="dxa"/>
      <w:jc w:val="center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B675EE" w:rsidTr="00B675EE">
      <w:trPr>
        <w:trHeight w:val="746"/>
        <w:jc w:val="center"/>
      </w:trPr>
      <w:tc>
        <w:tcPr>
          <w:tcW w:w="9180" w:type="dxa"/>
          <w:shd w:val="clear" w:color="auto" w:fill="E0E0E0"/>
        </w:tcPr>
        <w:p w:rsidR="00B675EE" w:rsidRDefault="00B675EE" w:rsidP="0096641B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B675EE" w:rsidRDefault="00B675EE" w:rsidP="0096641B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B675EE" w:rsidRPr="00B675EE" w:rsidRDefault="00B675EE" w:rsidP="00B675EE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hyperlink r:id="rId1" w:history="1">
            <w:r w:rsidRPr="00500EC9">
              <w:rPr>
                <w:rStyle w:val="Hyperlink"/>
                <w:i/>
                <w:sz w:val="20"/>
                <w:szCs w:val="20"/>
              </w:rPr>
              <w:t>contato@rodrigofarah.com</w:t>
            </w:r>
          </w:hyperlink>
          <w:r>
            <w:rPr>
              <w:i/>
              <w:sz w:val="20"/>
              <w:szCs w:val="20"/>
            </w:rPr>
            <w:t xml:space="preserve"> 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>
            <w:rPr>
              <w:i/>
              <w:sz w:val="20"/>
              <w:szCs w:val="20"/>
            </w:rPr>
            <w:t>www.rodrigofarah.com</w:t>
          </w:r>
        </w:p>
      </w:tc>
    </w:tr>
  </w:tbl>
  <w:p w:rsidR="00B675EE" w:rsidRDefault="00B675EE" w:rsidP="00B675EE">
    <w:pPr>
      <w:pStyle w:val="Rodap"/>
      <w:tabs>
        <w:tab w:val="clear" w:pos="4252"/>
        <w:tab w:val="clear" w:pos="8504"/>
        <w:tab w:val="left" w:pos="6420"/>
      </w:tabs>
    </w:pPr>
  </w:p>
  <w:p w:rsidR="00B675EE" w:rsidRPr="00B675EE" w:rsidRDefault="00B675EE" w:rsidP="00B675E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107D" w:rsidRDefault="000E107D" w:rsidP="006A59DA">
      <w:pPr>
        <w:spacing w:after="0" w:line="240" w:lineRule="auto"/>
      </w:pPr>
      <w:r>
        <w:separator/>
      </w:r>
    </w:p>
  </w:footnote>
  <w:footnote w:type="continuationSeparator" w:id="0">
    <w:p w:rsidR="000E107D" w:rsidRDefault="000E107D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5EE" w:rsidRDefault="00B675EE" w:rsidP="00B675EE">
    <w:pPr>
      <w:pStyle w:val="Cabealho"/>
      <w:rPr>
        <w:rFonts w:ascii="Tahoma" w:hAnsi="Tahoma" w:cs="Tahoma"/>
        <w:sz w:val="20"/>
      </w:rPr>
    </w:pPr>
    <w:r>
      <w:rPr>
        <w:rFonts w:ascii="Tahoma" w:hAnsi="Tahoma" w:cs="Tahoma"/>
        <w:sz w:val="20"/>
      </w:rPr>
      <w:tab/>
    </w:r>
    <w:r>
      <w:rPr>
        <w:rFonts w:ascii="Tahoma" w:hAnsi="Tahoma" w:cs="Tahoma"/>
        <w:noProof/>
        <w:sz w:val="20"/>
        <w:lang w:eastAsia="pt-BR"/>
      </w:rPr>
      <w:drawing>
        <wp:inline distT="0" distB="0" distL="0" distR="0" wp14:anchorId="5FD88DA4" wp14:editId="11BEAB84">
          <wp:extent cx="504941" cy="600075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941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75EE" w:rsidRPr="00B675EE" w:rsidRDefault="00B675EE" w:rsidP="00B675EE">
    <w:pPr>
      <w:pStyle w:val="Cabealho"/>
      <w:jc w:val="center"/>
      <w:rPr>
        <w:rFonts w:ascii="Georgia" w:hAnsi="Georgia" w:cs="Tahoma"/>
        <w:smallCaps/>
        <w:spacing w:val="50"/>
        <w:sz w:val="24"/>
        <w:szCs w:val="24"/>
      </w:rPr>
    </w:pP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C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âmara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M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unicipal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de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N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iterói</w:t>
    </w:r>
  </w:p>
  <w:p w:rsidR="00B675EE" w:rsidRPr="00B675EE" w:rsidRDefault="00B675EE" w:rsidP="00B675EE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B675EE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6A59DA" w:rsidRPr="00B675EE" w:rsidRDefault="006A59DA" w:rsidP="00B675E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970A7"/>
    <w:rsid w:val="000A376C"/>
    <w:rsid w:val="000C5271"/>
    <w:rsid w:val="000E107D"/>
    <w:rsid w:val="000E1215"/>
    <w:rsid w:val="001371CB"/>
    <w:rsid w:val="00144D93"/>
    <w:rsid w:val="00157818"/>
    <w:rsid w:val="001867EB"/>
    <w:rsid w:val="00190855"/>
    <w:rsid w:val="001A75BC"/>
    <w:rsid w:val="00237F44"/>
    <w:rsid w:val="00251CA8"/>
    <w:rsid w:val="002914F3"/>
    <w:rsid w:val="002945B7"/>
    <w:rsid w:val="002C25D5"/>
    <w:rsid w:val="002F067E"/>
    <w:rsid w:val="003957B9"/>
    <w:rsid w:val="00396D1C"/>
    <w:rsid w:val="003D47CE"/>
    <w:rsid w:val="003E0641"/>
    <w:rsid w:val="003E1ED9"/>
    <w:rsid w:val="0042157F"/>
    <w:rsid w:val="005149D7"/>
    <w:rsid w:val="005479B2"/>
    <w:rsid w:val="0056091E"/>
    <w:rsid w:val="00595992"/>
    <w:rsid w:val="005B152A"/>
    <w:rsid w:val="005D1CC2"/>
    <w:rsid w:val="006265D5"/>
    <w:rsid w:val="00650C30"/>
    <w:rsid w:val="00687C2C"/>
    <w:rsid w:val="006A59DA"/>
    <w:rsid w:val="007218DA"/>
    <w:rsid w:val="00732872"/>
    <w:rsid w:val="007839F8"/>
    <w:rsid w:val="00791D76"/>
    <w:rsid w:val="007D477D"/>
    <w:rsid w:val="00915FCC"/>
    <w:rsid w:val="00923005"/>
    <w:rsid w:val="00951B78"/>
    <w:rsid w:val="00975C0B"/>
    <w:rsid w:val="009C7527"/>
    <w:rsid w:val="009F2AEB"/>
    <w:rsid w:val="00A055CA"/>
    <w:rsid w:val="00A13740"/>
    <w:rsid w:val="00A250A2"/>
    <w:rsid w:val="00A503AB"/>
    <w:rsid w:val="00A80C02"/>
    <w:rsid w:val="00B319D7"/>
    <w:rsid w:val="00B63082"/>
    <w:rsid w:val="00B675EE"/>
    <w:rsid w:val="00BC7A93"/>
    <w:rsid w:val="00BE708A"/>
    <w:rsid w:val="00C05C48"/>
    <w:rsid w:val="00C62726"/>
    <w:rsid w:val="00D046A7"/>
    <w:rsid w:val="00D4470D"/>
    <w:rsid w:val="00D44F71"/>
    <w:rsid w:val="00D45F09"/>
    <w:rsid w:val="00D814C5"/>
    <w:rsid w:val="00DA50E2"/>
    <w:rsid w:val="00DC5A10"/>
    <w:rsid w:val="00E30945"/>
    <w:rsid w:val="00E35F1F"/>
    <w:rsid w:val="00E929EC"/>
    <w:rsid w:val="00EF1D38"/>
    <w:rsid w:val="00EF6E25"/>
    <w:rsid w:val="00F0477A"/>
    <w:rsid w:val="00F06CDF"/>
    <w:rsid w:val="00F07D47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675EE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B675EE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675EE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675EE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B675EE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675EE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30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408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97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55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6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rodrigofarah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277326-386C-4595-B4E3-C53418797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543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Leonardo</cp:lastModifiedBy>
  <cp:revision>3</cp:revision>
  <cp:lastPrinted>2024-06-26T20:01:00Z</cp:lastPrinted>
  <dcterms:created xsi:type="dcterms:W3CDTF">2024-06-26T20:04:00Z</dcterms:created>
  <dcterms:modified xsi:type="dcterms:W3CDTF">2024-06-26T20:05:00Z</dcterms:modified>
</cp:coreProperties>
</file>