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Cria e acrescenta recursos para a instalação de semáforos sonoros no anexo II – Metas e Prioridades da Lei do projeto de lei de diretrizes orçamentárias para o exercício financeiro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Cria e acrescenta recursos para a instalação de semáforos sonoros no anexo II – Metas e Prioridades da Lei do projeto de lei de diretrizes orçamentárias para o exercício financeiro de 2025.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11 Mobilidade Urbana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left="0" w:right="-100" w:firstLine="0"/>
              <w:jc w:val="both"/>
              <w:rPr>
                <w:rFonts w:ascii="Calibri" w:cs="Calibri" w:eastAsia="Calibri" w:hAnsi="Calibri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Instalação de semáforos sonoros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Transporte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Serviços Urbanos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NITTRANS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10 - Cidade Urbanizada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5071 Revitalização de Praças e Áreas de Lazer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Emusa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54.905.291,49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30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0.000</w:t>
            </w:r>
          </w:p>
        </w:tc>
      </w:tr>
    </w:tbl>
    <w:p w:rsidR="00000000" w:rsidDel="00000000" w:rsidP="00000000" w:rsidRDefault="00000000" w:rsidRPr="00000000" w14:paraId="0000003F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jc w:val="both"/>
        <w:rPr/>
      </w:pPr>
      <w:r w:rsidDel="00000000" w:rsidR="00000000" w:rsidRPr="00000000">
        <w:rPr>
          <w:rtl w:val="0"/>
        </w:rPr>
        <w:tab/>
        <w:t xml:space="preserve">A instalação de semáforos sonoros é essencial para promover a acessibilidade e garantir a segurança de pessoas com deficiência visual. Esses dispositivos são fundamentais para auxiliar pedestres com dificuldades de visão na travessia de vias urbanas, reduzindo o risco de acidentes. A emenda parlamentar destinada a esse fim demonstra a preocupação do legislativo com a inclusão e a proteção dos cidadãos mais vulneráveis. Além disso, a presença de semáforos sonoros contribui para a democratização do espaço público, garantindo que todos tenham igualdade de direitos e oportunidades de deslocamento com segurança. Investir nesse tipo de tecnologia é um passo importante para tornar as cidades mais acessíveis e acolhedoras para todos os seus habitantes, promovendo a cidadania e o respeito à diversidade.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