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5529 implantação de malha cicloviária no anexo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5529 implantação de malha cicloviária no anexo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5529 implantação de malha cicloviária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Urbanismo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INFRA-ESTRUTURA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Urbanismo e Mobilidade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LDO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3.000.000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3.500.000</w:t>
            </w:r>
          </w:p>
        </w:tc>
      </w:tr>
    </w:tbl>
    <w:p w:rsidR="00000000" w:rsidDel="00000000" w:rsidP="00000000" w:rsidRDefault="00000000" w:rsidRPr="00000000" w14:paraId="0000003D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5569 | VIABILIZAÇÃO DE OBRAS DE MELHORIA DE MOBILIDADE URBANA E QUALIFICAÇÃO DE ESPAÇOS URBANOS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Urbanismo e Mobilidade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jc w:val="both"/>
        <w:rPr/>
      </w:pPr>
      <w:r w:rsidDel="00000000" w:rsidR="00000000" w:rsidRPr="00000000">
        <w:rPr>
          <w:rtl w:val="0"/>
        </w:rPr>
        <w:tab/>
        <w:t xml:space="preserve">Emenda com o objetivo de destinar maior recurso para a ampliação da malha cicloviária em Niterói contribuindo para o aumento do uso da bicicleta e das políticas públicas relacionadas nos últimos anos na cidade.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