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Feira Municipal de Ciência e Tecnologia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Feira Municipal de Ciência e Tecnologia no anexo II – Metas e Prioridades da Lei do projeto de lei de diretrizes orçamentárias para o exercício financeiro de 2025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134 Cidade Científica E Tecnológica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right="-10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Feira Municipal de Ciência e Tecnologia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Ciência e tecnologia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Difusão do conhec cient e tecnologico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Sec municipal de ciência, tecnologia e inovação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134 Cidade Científica E Tecnológica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6406 realização de eventos relacionados à ciência, tecnologia e inovação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Sec municipal de ciência, tecnologia e inovação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43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Emenda com o objetivo de promover uma feira municipal para incentivar a criatividade e a inovação impulsionando o desenvolvimento econômico local, atraindo parcerias e fomentando novas ideias.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