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____/2024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072/2024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Cria e acrescenta recursos a ação orçamentária Criação do Centro de Referência para Dores Crônicas no anexo II – Metas e Prioridades da Lei do projeto de lei de diretrizes orçamentárias para o exercício financeiro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Cria e acrescenta recursos a ação orçamentária Criação do Centro de Referência para Dores Crônicas no anexo II – Metas e Prioridades da Lei do projeto de lei de diretrizes orçamentárias para o exercício financeiro de 2025.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133 - Atenção à Saúde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ind w:left="0" w:right="-10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Criação do Centro de Referência para Dores Crônicas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Saúde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Ass. Hospitalar e Ambulatorial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Fundo Municipal de Saúde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500.000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500.000,00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133 - Atenção a saúde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6152 | OPERACIONALIZAÇÃO E QUALIFICAÇÃO DA REDE DE SERVIÇOS DE ESPECIALIDADES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FUNDO MUNICIPAL DE SAUDE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8.000.000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500.000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</w:t>
      </w:r>
    </w:p>
    <w:p w:rsidR="00000000" w:rsidDel="00000000" w:rsidP="00000000" w:rsidRDefault="00000000" w:rsidRPr="00000000" w14:paraId="00000043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emenda para a criação do centro de referência de dores crônicas é fruto da luta da AFAPNIT.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shd w:fill="f5f5f5" w:val="clear"/>
          <w:rtl w:val="0"/>
        </w:rPr>
        <w:t xml:space="preserve">Os Centros de Referência da Dor Crônica (CRDor) são unidades de saúde especializadas onde os pacientes recebem tratamento individualizado para combater a raiz do problema.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4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5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6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