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1E06EC">
        <w:rPr>
          <w:rFonts w:ascii="Times New Roman" w:hAnsi="Times New Roman" w:cs="Times New Roman"/>
          <w:b/>
          <w:sz w:val="24"/>
          <w:szCs w:val="24"/>
        </w:rPr>
        <w:t xml:space="preserve"> ______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F4EFA" w:rsidRDefault="00144D93" w:rsidP="001F4EFA">
      <w:pPr>
        <w:spacing w:after="0"/>
        <w:ind w:left="4253" w:right="-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4EFA">
        <w:rPr>
          <w:rFonts w:ascii="Times New Roman" w:hAnsi="Times New Roman" w:cs="Times New Roman"/>
          <w:b/>
          <w:sz w:val="26"/>
          <w:szCs w:val="26"/>
        </w:rPr>
        <w:t>Acrescenta ação</w:t>
      </w:r>
      <w:r w:rsidR="003E532B" w:rsidRPr="001F4E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E532B" w:rsidRPr="001F4EFA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“</w:t>
      </w:r>
      <w:r w:rsidR="001E06EC" w:rsidRPr="001F4EFA">
        <w:rPr>
          <w:rFonts w:ascii="Times New Roman" w:hAnsi="Times New Roman" w:cs="Times New Roman"/>
          <w:b/>
          <w:sz w:val="26"/>
          <w:szCs w:val="26"/>
        </w:rPr>
        <w:t>PROGRAMA MUNICIPAL DE APOIO E PROMOÇÃO DO ESPORTE</w:t>
      </w:r>
      <w:r w:rsidR="001E06EC" w:rsidRPr="001F4EFA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– PRO</w:t>
      </w:r>
      <w:r w:rsidR="001A7052" w:rsidRPr="001F4EFA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ESPORTE</w:t>
      </w:r>
      <w:r w:rsidR="001E06EC" w:rsidRPr="001F4EFA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- NITERÓI</w:t>
      </w:r>
      <w:r w:rsidR="003E532B" w:rsidRPr="001F4EFA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”</w:t>
      </w:r>
      <w:r w:rsidR="003E532B" w:rsidRPr="001F4E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F4EFA">
        <w:rPr>
          <w:rFonts w:ascii="Times New Roman" w:hAnsi="Times New Roman" w:cs="Times New Roman"/>
          <w:b/>
          <w:sz w:val="26"/>
          <w:szCs w:val="26"/>
        </w:rPr>
        <w:t>no Anexo de Prioridades e Metas do Projeto de Lei de Diretrizes Orçamentárias para o exercício financeiro de 202</w:t>
      </w:r>
      <w:r w:rsidR="00041808" w:rsidRPr="001F4EFA">
        <w:rPr>
          <w:rFonts w:ascii="Times New Roman" w:hAnsi="Times New Roman" w:cs="Times New Roman"/>
          <w:b/>
          <w:sz w:val="26"/>
          <w:szCs w:val="26"/>
        </w:rPr>
        <w:t>5</w:t>
      </w:r>
      <w:r w:rsidRPr="001F4EFA">
        <w:rPr>
          <w:rFonts w:ascii="Times New Roman" w:hAnsi="Times New Roman" w:cs="Times New Roman"/>
          <w:b/>
          <w:sz w:val="26"/>
          <w:szCs w:val="26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F4EFA" w:rsidRDefault="001F4EFA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1E06EC">
      <w:pPr>
        <w:spacing w:after="120"/>
        <w:ind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0137 – CIDADE DO ESPORTE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E06EC" w:rsidRDefault="001371CB" w:rsidP="001A705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1E06EC" w:rsidRPr="001E06EC">
              <w:rPr>
                <w:rFonts w:eastAsia="Times New Roman" w:cstheme="minorHAnsi"/>
                <w:lang w:eastAsia="pt-BR"/>
              </w:rPr>
              <w:t>PRO</w:t>
            </w:r>
            <w:r w:rsidR="001A7052" w:rsidRPr="001E06EC">
              <w:rPr>
                <w:rFonts w:eastAsia="Times New Roman" w:cstheme="minorHAnsi"/>
                <w:lang w:eastAsia="pt-BR"/>
              </w:rPr>
              <w:t>ESPORTE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3E532B" w:rsidP="001A7052">
            <w:pPr>
              <w:spacing w:after="0" w:line="240" w:lineRule="auto"/>
              <w:textAlignment w:val="baseline"/>
            </w:pPr>
            <w:r>
              <w:t xml:space="preserve"> 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DESPORTO E LAZER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3E532B" w:rsidP="00345A5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SECRETARIA MUNICIPAL DE ESPORTES E LAZER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DESPORTO DE RENDIMENTO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1A705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</w:pP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</w:pP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371CB" w:rsidRPr="00BE051B" w:rsidRDefault="001371CB" w:rsidP="00345A54">
            <w:pPr>
              <w:spacing w:after="0" w:line="240" w:lineRule="auto"/>
              <w:textAlignment w:val="baseline"/>
            </w:pP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F15EB4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F15EB4">
              <w:t>1</w:t>
            </w:r>
            <w:r>
              <w:t>1.</w:t>
            </w:r>
            <w:r w:rsidR="00345A54">
              <w:t>1</w:t>
            </w:r>
            <w:r w:rsidR="00F15EB4">
              <w:t>13</w:t>
            </w:r>
            <w:r>
              <w:t>.</w:t>
            </w:r>
            <w:r w:rsidR="00F15EB4">
              <w:t>957</w:t>
            </w:r>
            <w:r>
              <w:t>,</w:t>
            </w:r>
            <w:r w:rsidR="00F15EB4">
              <w:t>75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F4EFA" w:rsidRDefault="001F4EFA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F4EFA" w:rsidRDefault="001F4EFA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A7052" w:rsidRPr="001E06EC" w:rsidRDefault="00157818" w:rsidP="001E06EC">
      <w:pPr>
        <w:spacing w:line="276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1E06EC"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 w:rsidRPr="001E06EC">
        <w:rPr>
          <w:rFonts w:ascii="Times New Roman" w:hAnsi="Times New Roman" w:cs="Times New Roman"/>
          <w:sz w:val="24"/>
          <w:szCs w:val="24"/>
        </w:rPr>
        <w:t xml:space="preserve">- </w:t>
      </w:r>
      <w:r w:rsidR="00237F44" w:rsidRPr="001E06EC">
        <w:rPr>
          <w:rFonts w:ascii="Times New Roman" w:hAnsi="Times New Roman" w:cs="Times New Roman"/>
          <w:sz w:val="24"/>
          <w:szCs w:val="24"/>
        </w:rPr>
        <w:t xml:space="preserve">Os valores para a execução da ação acima, serão compensados </w:t>
      </w:r>
      <w:r w:rsidR="001A7052" w:rsidRPr="001E06EC">
        <w:rPr>
          <w:rFonts w:ascii="Times New Roman" w:hAnsi="Times New Roman" w:cs="Times New Roman"/>
          <w:sz w:val="24"/>
          <w:szCs w:val="24"/>
        </w:rPr>
        <w:t xml:space="preserve">com a criação no Anexo de Metas Fiscais – Tabela 7 no Demonstrativo 7 – Estimativa e Compensação da Renúncia de Receitas no Projeto de Lei de Diretrizes Orçamentárias para o Exercício de 2025 o </w:t>
      </w:r>
      <w:r w:rsidR="001A7052" w:rsidRPr="001E06EC">
        <w:rPr>
          <w:rFonts w:ascii="Times New Roman" w:hAnsi="Times New Roman" w:cs="Times New Roman"/>
          <w:b/>
          <w:sz w:val="24"/>
          <w:szCs w:val="24"/>
        </w:rPr>
        <w:t>I</w:t>
      </w:r>
      <w:r w:rsidR="001E06EC" w:rsidRPr="001E06EC">
        <w:rPr>
          <w:rFonts w:ascii="Times New Roman" w:hAnsi="Times New Roman" w:cs="Times New Roman"/>
          <w:b/>
          <w:sz w:val="24"/>
          <w:szCs w:val="24"/>
        </w:rPr>
        <w:t>NCENTIVO FINANCEIRO AO PROESPORTE – NITERÓI.</w:t>
      </w:r>
      <w:r w:rsidR="001A7052" w:rsidRPr="001E0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7052" w:rsidRPr="001E06EC">
        <w:rPr>
          <w:rFonts w:ascii="Times New Roman" w:hAnsi="Times New Roman" w:cs="Times New Roman"/>
          <w:sz w:val="24"/>
          <w:szCs w:val="24"/>
        </w:rPr>
        <w:t>Os recursos destinados incidirão em 1% sobre o total arrecadado a título de ISSQN e IPTU sobre o total apurado no e</w:t>
      </w:r>
      <w:r w:rsidR="00513866" w:rsidRPr="001E06EC">
        <w:rPr>
          <w:rFonts w:ascii="Times New Roman" w:hAnsi="Times New Roman" w:cs="Times New Roman"/>
          <w:sz w:val="24"/>
          <w:szCs w:val="24"/>
        </w:rPr>
        <w:t>xercício imediatamente anterior, conforme quadro em anexo:</w:t>
      </w:r>
    </w:p>
    <w:p w:rsidR="00513866" w:rsidRDefault="00513866" w:rsidP="001A7052">
      <w:pPr>
        <w:rPr>
          <w:rFonts w:ascii="Times New Roman" w:hAnsi="Times New Roman" w:cs="Times New Roman"/>
        </w:rPr>
      </w:pPr>
    </w:p>
    <w:p w:rsidR="001E06EC" w:rsidRDefault="001E06EC" w:rsidP="001A7052">
      <w:pPr>
        <w:rPr>
          <w:rFonts w:ascii="Times New Roman" w:hAnsi="Times New Roman" w:cs="Times New Roman"/>
        </w:rPr>
      </w:pPr>
    </w:p>
    <w:p w:rsidR="001E06EC" w:rsidRDefault="001E06EC" w:rsidP="001A7052">
      <w:pPr>
        <w:rPr>
          <w:rFonts w:ascii="Times New Roman" w:hAnsi="Times New Roman" w:cs="Times New Roman"/>
        </w:rPr>
      </w:pPr>
    </w:p>
    <w:p w:rsidR="001E06EC" w:rsidRDefault="001E06EC" w:rsidP="001A7052">
      <w:pPr>
        <w:rPr>
          <w:rFonts w:ascii="Times New Roman" w:hAnsi="Times New Roman" w:cs="Times New Roman"/>
        </w:rPr>
      </w:pPr>
    </w:p>
    <w:p w:rsidR="001E06EC" w:rsidRDefault="001E06EC" w:rsidP="001A7052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-110"/>
        <w:tblW w:w="115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9"/>
      </w:tblGrid>
      <w:tr w:rsidR="001F4EFA" w:rsidRPr="000D2D9E" w:rsidTr="001F4EFA">
        <w:trPr>
          <w:trHeight w:val="90"/>
        </w:trPr>
        <w:tc>
          <w:tcPr>
            <w:tcW w:w="1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1F4EFA" w:rsidRDefault="001F4EFA" w:rsidP="001F4E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                         </w:t>
            </w:r>
          </w:p>
          <w:p w:rsidR="001F4EFA" w:rsidRPr="001F4EFA" w:rsidRDefault="001F4EFA" w:rsidP="001F4E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>LEI DE DIRETRIZES ORÇAMENTÁRIAS</w:t>
            </w:r>
          </w:p>
        </w:tc>
      </w:tr>
      <w:tr w:rsidR="001F4EFA" w:rsidRPr="000D2D9E" w:rsidTr="001F4EFA">
        <w:trPr>
          <w:trHeight w:val="90"/>
        </w:trPr>
        <w:tc>
          <w:tcPr>
            <w:tcW w:w="1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1F4EFA" w:rsidRDefault="001F4EFA" w:rsidP="001F4E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</w:t>
            </w: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ANEXO DE METAS FISCAIS</w:t>
            </w:r>
          </w:p>
        </w:tc>
      </w:tr>
      <w:tr w:rsidR="001F4EFA" w:rsidRPr="000D2D9E" w:rsidTr="001F4EFA">
        <w:trPr>
          <w:trHeight w:val="90"/>
        </w:trPr>
        <w:tc>
          <w:tcPr>
            <w:tcW w:w="1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1F4EFA" w:rsidRDefault="001F4EFA" w:rsidP="001F4E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</w:t>
            </w: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>ESTIMATIVA E COMPENSAÇÃO DA RENÚNCIA DE RECEITA</w:t>
            </w:r>
          </w:p>
        </w:tc>
      </w:tr>
      <w:tr w:rsidR="001F4EFA" w:rsidRPr="000D2D9E" w:rsidTr="001F4EFA">
        <w:trPr>
          <w:trHeight w:val="90"/>
        </w:trPr>
        <w:tc>
          <w:tcPr>
            <w:tcW w:w="1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1F4EFA" w:rsidRDefault="001F4EFA" w:rsidP="001F4E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>2025</w:t>
            </w:r>
          </w:p>
        </w:tc>
      </w:tr>
    </w:tbl>
    <w:tbl>
      <w:tblPr>
        <w:tblpPr w:leftFromText="141" w:rightFromText="141" w:vertAnchor="text" w:horzAnchor="margin" w:tblpXSpec="center" w:tblpY="1162"/>
        <w:tblW w:w="119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1440"/>
        <w:gridCol w:w="1480"/>
        <w:gridCol w:w="2503"/>
        <w:gridCol w:w="1530"/>
        <w:gridCol w:w="1291"/>
        <w:gridCol w:w="1234"/>
        <w:gridCol w:w="1390"/>
      </w:tblGrid>
      <w:tr w:rsidR="001F4EFA" w:rsidRPr="00D8628C" w:rsidTr="00F775D0">
        <w:trPr>
          <w:trHeight w:val="132"/>
        </w:trPr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F4EFA" w:rsidRPr="00D8628C" w:rsidTr="00F775D0">
        <w:trPr>
          <w:gridAfter w:val="1"/>
          <w:wAfter w:w="1390" w:type="dxa"/>
          <w:trHeight w:val="126"/>
        </w:trPr>
        <w:tc>
          <w:tcPr>
            <w:tcW w:w="93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EFA" w:rsidRPr="001F4EFA" w:rsidRDefault="001F4EFA" w:rsidP="001F4EFA">
            <w:pPr>
              <w:spacing w:after="0" w:line="240" w:lineRule="auto"/>
              <w:ind w:left="169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</w:t>
            </w:r>
            <w:r w:rsidR="00153594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</w:t>
            </w:r>
            <w:r w:rsidRPr="001F4EFA">
              <w:rPr>
                <w:rFonts w:ascii="Calibri" w:eastAsia="Times New Roman" w:hAnsi="Calibri" w:cs="Calibri"/>
                <w:color w:val="000000"/>
                <w:lang w:eastAsia="pt-BR"/>
              </w:rPr>
              <w:t>AMF - Demonstrativo 7 (LRF, art. 4°, § 2°, inciso V)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</w:tr>
      <w:tr w:rsidR="001F4EFA" w:rsidRPr="00D8628C" w:rsidTr="00F775D0">
        <w:trPr>
          <w:trHeight w:val="269"/>
        </w:trPr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512359">
            <w:pPr>
              <w:spacing w:after="0" w:line="240" w:lineRule="auto"/>
              <w:ind w:left="169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Tributo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Espécie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590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Setores/</w:t>
            </w:r>
          </w:p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bookmarkStart w:id="0" w:name="_GoBack"/>
            <w:bookmarkEnd w:id="0"/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Programas Beneficiários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Texto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Metodologia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Estimativa 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2026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D8628C" w:rsidRDefault="001F4EFA" w:rsidP="001F4EFA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D862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2027</w:t>
            </w:r>
          </w:p>
        </w:tc>
      </w:tr>
      <w:tr w:rsidR="001F4EFA" w:rsidRPr="000D2D9E" w:rsidTr="00F775D0">
        <w:trPr>
          <w:trHeight w:val="3054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AF68B8">
            <w:pPr>
              <w:spacing w:after="0" w:line="240" w:lineRule="auto"/>
              <w:ind w:left="169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IPTU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Outros benefícios que correspondam a tratamento diferenciado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ind w:left="16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Incentivo Financeiro ao PRÓESPORTE NITERÓI.......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ind w:left="16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Criação do Programa Municipal de Apoio e Promoção do Esporte – PROESPORTE-NITERÓI, que compreende o Incentivo Fiscal, Certificado de Mérito e o Selo de Compromisso com o Esporte. Por meio de incentivos corretos e os meios adequados para que projetos esportivos modernos e de qualidade sejam desenvolvidos na Cidade e financiados por empresas locais.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ind w:left="169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Somatório do valor do IPTU que seria devido sobre os imóveis caso estes não fossem contemplados com o benefício fiscal.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ind w:left="72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5.743.887,47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5.946.072,31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EFA" w:rsidRPr="000D2D9E" w:rsidRDefault="001F4EFA" w:rsidP="006422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6.154.184,84</w:t>
            </w:r>
          </w:p>
        </w:tc>
      </w:tr>
    </w:tbl>
    <w:tbl>
      <w:tblPr>
        <w:tblW w:w="11798" w:type="dxa"/>
        <w:tblInd w:w="-1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88"/>
        <w:gridCol w:w="1448"/>
        <w:gridCol w:w="2551"/>
        <w:gridCol w:w="1559"/>
        <w:gridCol w:w="1276"/>
        <w:gridCol w:w="1276"/>
        <w:gridCol w:w="1308"/>
      </w:tblGrid>
      <w:tr w:rsidR="001F4EFA" w:rsidRPr="000D2D9E" w:rsidTr="001F4EFA">
        <w:trPr>
          <w:trHeight w:val="3780"/>
        </w:trPr>
        <w:tc>
          <w:tcPr>
            <w:tcW w:w="992" w:type="dxa"/>
            <w:shd w:val="clear" w:color="auto" w:fill="auto"/>
            <w:vAlign w:val="center"/>
            <w:hideMark/>
          </w:tcPr>
          <w:p w:rsidR="001E06EC" w:rsidRDefault="001E06EC" w:rsidP="00AF6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lastRenderedPageBreak/>
              <w:t>ISSQN</w:t>
            </w:r>
          </w:p>
          <w:p w:rsidR="001E06EC" w:rsidRPr="001E06EC" w:rsidRDefault="001E06EC" w:rsidP="00F775D0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Outros benefícios que correspondam a tratamento diferenciado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ind w:left="-7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Incentivo Financeiro ao PRÓESPORTE NITERÓI.......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Criação do Programa Municipal de Apoio e Promoção do Esporte – PROESPORTE-NITERÓI, que compreende o Incentivo Fiscal, Certificado de Mérito e o Selo de Compromisso com o Esporte. Por meio de incentivos corretos e os meios adequados para que projetos esportivos modernos e de qualidade sejam desenvolvidos na Cidade e financiados por empresas locais.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Somatório dos créditos de ISS que foram concedidos aos sujeitos passivos contemplados com o benefício fiscal.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5.370.070,28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5.559.096,75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1E06EC" w:rsidRPr="000D2D9E" w:rsidRDefault="001E06EC" w:rsidP="00F775D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0D2D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5.753.665,14</w:t>
            </w:r>
          </w:p>
        </w:tc>
      </w:tr>
    </w:tbl>
    <w:p w:rsidR="00956981" w:rsidRDefault="001F4EFA" w:rsidP="001F4EFA">
      <w:pPr>
        <w:tabs>
          <w:tab w:val="left" w:pos="6255"/>
        </w:tabs>
        <w:spacing w:after="0"/>
        <w:ind w:right="-8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41" w:rightFromText="141" w:vertAnchor="text" w:horzAnchor="margin" w:tblpXSpec="center" w:tblpY="-59"/>
        <w:tblW w:w="111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6"/>
        <w:gridCol w:w="920"/>
      </w:tblGrid>
      <w:tr w:rsidR="00956981" w:rsidRPr="00956981" w:rsidTr="001F4EFA">
        <w:trPr>
          <w:trHeight w:val="87"/>
        </w:trPr>
        <w:tc>
          <w:tcPr>
            <w:tcW w:w="1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Default="00956981" w:rsidP="001F4EFA">
            <w:pPr>
              <w:spacing w:after="0" w:line="240" w:lineRule="auto"/>
              <w:ind w:right="-779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5698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OBS: OS VALORES APRESENTADOS, TOMARAM POR BASE 1% SOBRE A PREVISÃO DA RECEITA DO IPTU E DO ISSQN </w:t>
            </w:r>
          </w:p>
          <w:p w:rsidR="00956981" w:rsidRPr="00956981" w:rsidRDefault="00956981" w:rsidP="001F4EFA">
            <w:pPr>
              <w:spacing w:after="0" w:line="240" w:lineRule="auto"/>
              <w:ind w:right="-779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56981">
              <w:rPr>
                <w:rFonts w:ascii="Calibri" w:eastAsia="Times New Roman" w:hAnsi="Calibri" w:cs="Calibri"/>
                <w:color w:val="000000"/>
                <w:lang w:eastAsia="pt-BR"/>
              </w:rPr>
              <w:t>CONSTANTES NA LEI ORÇAMENTÁRIA ANUAL PARA O EXERCÍCIO DE 2024.</w:t>
            </w:r>
          </w:p>
        </w:tc>
      </w:tr>
      <w:tr w:rsidR="00956981" w:rsidRPr="00956981" w:rsidTr="001F4EFA">
        <w:trPr>
          <w:gridAfter w:val="1"/>
          <w:wAfter w:w="920" w:type="dxa"/>
          <w:trHeight w:val="16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EFA" w:rsidRDefault="00956981" w:rsidP="001F4EFA">
            <w:pPr>
              <w:spacing w:after="0" w:line="240" w:lineRule="auto"/>
              <w:ind w:right="-779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56981">
              <w:rPr>
                <w:rFonts w:ascii="Calibri" w:eastAsia="Times New Roman" w:hAnsi="Calibri" w:cs="Calibri"/>
                <w:color w:val="000000"/>
                <w:lang w:eastAsia="pt-BR"/>
              </w:rPr>
              <w:t>PARA 2026 E 2027 PROJETOU-SE A VARIAÇÃO DE 3,52% E 3,50% RESPECTIVAMENTE, CONFORME</w:t>
            </w:r>
          </w:p>
          <w:p w:rsidR="00956981" w:rsidRPr="00956981" w:rsidRDefault="00956981" w:rsidP="001F4EFA">
            <w:pPr>
              <w:spacing w:after="0" w:line="240" w:lineRule="auto"/>
              <w:ind w:right="-779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56981">
              <w:rPr>
                <w:rFonts w:ascii="Calibri" w:eastAsia="Times New Roman" w:hAnsi="Calibri" w:cs="Calibri"/>
                <w:color w:val="000000"/>
                <w:lang w:eastAsia="pt-BR"/>
              </w:rPr>
              <w:t>ANEXO 7, DEMOSTRATIVO 7 DO ANEXO DE METAS FISCAIS PARA 2025.</w:t>
            </w:r>
          </w:p>
        </w:tc>
      </w:tr>
    </w:tbl>
    <w:p w:rsidR="00956981" w:rsidRPr="00AF326A" w:rsidRDefault="00956981" w:rsidP="00956981">
      <w:pPr>
        <w:tabs>
          <w:tab w:val="left" w:pos="1905"/>
          <w:tab w:val="center" w:pos="4252"/>
        </w:tabs>
        <w:spacing w:after="120"/>
        <w:ind w:left="-567" w:right="-99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6B87">
        <w:rPr>
          <w:rFonts w:ascii="Times New Roman" w:hAnsi="Times New Roman" w:cs="Times New Roman"/>
          <w:b/>
        </w:rPr>
        <w:tab/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 de junho de 2024</w:t>
      </w:r>
    </w:p>
    <w:p w:rsidR="00956981" w:rsidRDefault="00956981" w:rsidP="00956981">
      <w:pPr>
        <w:spacing w:after="0" w:line="240" w:lineRule="auto"/>
        <w:ind w:left="-567" w:right="-992" w:firstLine="567"/>
      </w:pPr>
    </w:p>
    <w:p w:rsidR="00956981" w:rsidRDefault="00956981" w:rsidP="00956981">
      <w:pPr>
        <w:spacing w:after="0" w:line="240" w:lineRule="auto"/>
        <w:ind w:left="-426" w:right="-427" w:firstLine="567"/>
      </w:pPr>
    </w:p>
    <w:p w:rsidR="00956981" w:rsidRDefault="00956981" w:rsidP="00956981">
      <w:pPr>
        <w:spacing w:after="0" w:line="240" w:lineRule="auto"/>
        <w:ind w:left="-426" w:right="-427" w:firstLine="567"/>
      </w:pPr>
    </w:p>
    <w:p w:rsidR="00956981" w:rsidRPr="00AF326A" w:rsidRDefault="00956981" w:rsidP="00956981">
      <w:pPr>
        <w:spacing w:after="0" w:line="240" w:lineRule="auto"/>
        <w:ind w:left="-1418" w:right="-99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AF326A">
        <w:rPr>
          <w:b/>
          <w:sz w:val="24"/>
          <w:szCs w:val="24"/>
        </w:rPr>
        <w:t>Carlos Otávio Dias Vaz – CASOTA</w:t>
      </w:r>
      <w:r>
        <w:rPr>
          <w:b/>
          <w:sz w:val="24"/>
          <w:szCs w:val="24"/>
        </w:rPr>
        <w:t xml:space="preserve">             Luiz Carlos </w:t>
      </w:r>
      <w:proofErr w:type="spellStart"/>
      <w:r>
        <w:rPr>
          <w:b/>
          <w:sz w:val="24"/>
          <w:szCs w:val="24"/>
        </w:rPr>
        <w:t>Gallo</w:t>
      </w:r>
      <w:proofErr w:type="spellEnd"/>
      <w:r>
        <w:rPr>
          <w:b/>
          <w:sz w:val="24"/>
          <w:szCs w:val="24"/>
        </w:rPr>
        <w:t xml:space="preserve"> de Freitas                 Fabiano Gonçalves</w:t>
      </w:r>
    </w:p>
    <w:p w:rsidR="00956981" w:rsidRPr="00AF326A" w:rsidRDefault="00956981" w:rsidP="00956981">
      <w:pPr>
        <w:spacing w:after="0" w:line="240" w:lineRule="auto"/>
        <w:ind w:left="-426" w:right="-42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AF326A">
        <w:rPr>
          <w:b/>
          <w:sz w:val="24"/>
          <w:szCs w:val="24"/>
        </w:rPr>
        <w:t>Vereador</w:t>
      </w:r>
      <w:r>
        <w:rPr>
          <w:b/>
          <w:sz w:val="24"/>
          <w:szCs w:val="24"/>
        </w:rPr>
        <w:t xml:space="preserve">                                                      </w:t>
      </w:r>
      <w:proofErr w:type="spellStart"/>
      <w:r w:rsidRPr="00AF326A">
        <w:rPr>
          <w:b/>
          <w:sz w:val="24"/>
          <w:szCs w:val="24"/>
        </w:rPr>
        <w:t>Vereador</w:t>
      </w:r>
      <w:proofErr w:type="spellEnd"/>
      <w:r>
        <w:rPr>
          <w:b/>
          <w:sz w:val="24"/>
          <w:szCs w:val="24"/>
        </w:rPr>
        <w:t xml:space="preserve">                                       </w:t>
      </w:r>
      <w:proofErr w:type="spellStart"/>
      <w:r w:rsidRPr="00AF326A">
        <w:rPr>
          <w:b/>
          <w:sz w:val="24"/>
          <w:szCs w:val="24"/>
        </w:rPr>
        <w:t>Vereador</w:t>
      </w:r>
      <w:proofErr w:type="spellEnd"/>
    </w:p>
    <w:p w:rsidR="00956981" w:rsidRDefault="00956981" w:rsidP="00956981">
      <w:pPr>
        <w:spacing w:after="0" w:line="240" w:lineRule="auto"/>
        <w:ind w:left="-567" w:right="-992"/>
        <w:rPr>
          <w:rFonts w:ascii="Times New Roman" w:hAnsi="Times New Roman" w:cs="Times New Roman"/>
          <w:b/>
        </w:rPr>
      </w:pPr>
    </w:p>
    <w:p w:rsidR="00956981" w:rsidRDefault="00956981" w:rsidP="00956981">
      <w:pPr>
        <w:spacing w:after="0" w:line="240" w:lineRule="auto"/>
        <w:ind w:left="-567" w:right="-992"/>
        <w:rPr>
          <w:rFonts w:ascii="Times New Roman" w:hAnsi="Times New Roman" w:cs="Times New Roman"/>
          <w:b/>
        </w:rPr>
      </w:pPr>
    </w:p>
    <w:p w:rsidR="00956981" w:rsidRDefault="00956981" w:rsidP="00956981">
      <w:pPr>
        <w:spacing w:after="0" w:line="240" w:lineRule="auto"/>
        <w:ind w:left="-567" w:right="-99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345A54" w:rsidRDefault="00345A54" w:rsidP="00956981">
      <w:pPr>
        <w:spacing w:after="0" w:line="240" w:lineRule="auto"/>
        <w:ind w:left="-567" w:right="-992" w:firstLine="567"/>
      </w:pPr>
    </w:p>
    <w:p w:rsidR="00956981" w:rsidRPr="001F4EFA" w:rsidRDefault="00956981" w:rsidP="00956981">
      <w:pPr>
        <w:spacing w:after="120" w:line="276" w:lineRule="auto"/>
        <w:ind w:left="-567" w:right="-992" w:firstLine="993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1F4EFA">
        <w:rPr>
          <w:rFonts w:ascii="Tahoma" w:hAnsi="Tahoma" w:cs="Tahoma"/>
          <w:sz w:val="24"/>
          <w:szCs w:val="24"/>
        </w:rPr>
        <w:t xml:space="preserve">A presente Emenda Aditiva objetiva efetuar a reserva orçamentária dos valores estimados ao </w:t>
      </w:r>
      <w:r w:rsidRPr="001F4EFA">
        <w:rPr>
          <w:rFonts w:ascii="Tahoma" w:hAnsi="Tahoma" w:cs="Tahoma"/>
          <w:b/>
          <w:sz w:val="24"/>
          <w:szCs w:val="24"/>
        </w:rPr>
        <w:t>INCENTIVO FINANCEIRO AO PROESPORTE – NITERÓI</w:t>
      </w:r>
      <w:r w:rsidRPr="001F4EFA">
        <w:rPr>
          <w:rFonts w:ascii="Tahoma" w:hAnsi="Tahoma" w:cs="Tahoma"/>
          <w:sz w:val="24"/>
          <w:szCs w:val="24"/>
          <w:shd w:val="clear" w:color="auto" w:fill="FFFFFF"/>
        </w:rPr>
        <w:t>.</w:t>
      </w:r>
    </w:p>
    <w:p w:rsidR="00956981" w:rsidRPr="001F4EFA" w:rsidRDefault="00956981" w:rsidP="00956981">
      <w:pPr>
        <w:pStyle w:val="Corpodetexto"/>
        <w:spacing w:before="2" w:line="276" w:lineRule="auto"/>
        <w:ind w:left="-567" w:right="-992" w:firstLine="993"/>
        <w:jc w:val="both"/>
        <w:rPr>
          <w:rFonts w:ascii="Tahoma" w:hAnsi="Tahoma" w:cs="Tahoma"/>
        </w:rPr>
      </w:pPr>
      <w:r w:rsidRPr="001F4EFA">
        <w:rPr>
          <w:rFonts w:ascii="Tahoma" w:hAnsi="Tahoma" w:cs="Tahoma"/>
          <w:color w:val="000009"/>
        </w:rPr>
        <w:t>O modelo de Minuta de Projeto de Lei enviado por indicação nesta casa legislativa, cria, sob o</w:t>
      </w:r>
      <w:r w:rsidRPr="001F4EFA">
        <w:rPr>
          <w:rFonts w:ascii="Tahoma" w:hAnsi="Tahoma" w:cs="Tahoma"/>
          <w:color w:val="000009"/>
          <w:spacing w:val="-7"/>
        </w:rPr>
        <w:t xml:space="preserve"> </w:t>
      </w:r>
      <w:r w:rsidRPr="001F4EFA">
        <w:rPr>
          <w:rFonts w:ascii="Tahoma" w:hAnsi="Tahoma" w:cs="Tahoma"/>
          <w:color w:val="000009"/>
        </w:rPr>
        <w:t>crivo</w:t>
      </w:r>
      <w:r w:rsidRPr="001F4EFA">
        <w:rPr>
          <w:rFonts w:ascii="Tahoma" w:hAnsi="Tahoma" w:cs="Tahoma"/>
          <w:color w:val="000009"/>
          <w:spacing w:val="-7"/>
        </w:rPr>
        <w:t xml:space="preserve"> </w:t>
      </w:r>
      <w:r w:rsidRPr="001F4EFA">
        <w:rPr>
          <w:rFonts w:ascii="Tahoma" w:hAnsi="Tahoma" w:cs="Tahoma"/>
          <w:color w:val="000009"/>
        </w:rPr>
        <w:t>da</w:t>
      </w:r>
      <w:r w:rsidRPr="001F4EFA">
        <w:rPr>
          <w:rFonts w:ascii="Tahoma" w:hAnsi="Tahoma" w:cs="Tahoma"/>
          <w:color w:val="000009"/>
          <w:spacing w:val="-2"/>
        </w:rPr>
        <w:t xml:space="preserve"> </w:t>
      </w:r>
      <w:r w:rsidRPr="001F4EFA">
        <w:rPr>
          <w:rFonts w:ascii="Tahoma" w:hAnsi="Tahoma" w:cs="Tahoma"/>
          <w:color w:val="000009"/>
        </w:rPr>
        <w:t>constitucionalidade e</w:t>
      </w:r>
      <w:r w:rsidRPr="001F4EFA">
        <w:rPr>
          <w:rFonts w:ascii="Tahoma" w:hAnsi="Tahoma" w:cs="Tahoma"/>
          <w:color w:val="000009"/>
          <w:spacing w:val="-7"/>
        </w:rPr>
        <w:t xml:space="preserve"> </w:t>
      </w:r>
      <w:r w:rsidRPr="001F4EFA">
        <w:rPr>
          <w:rFonts w:ascii="Tahoma" w:hAnsi="Tahoma" w:cs="Tahoma"/>
          <w:color w:val="000009"/>
        </w:rPr>
        <w:t>das</w:t>
      </w:r>
      <w:r w:rsidRPr="001F4EFA">
        <w:rPr>
          <w:rFonts w:ascii="Tahoma" w:hAnsi="Tahoma" w:cs="Tahoma"/>
          <w:color w:val="000009"/>
          <w:spacing w:val="-9"/>
        </w:rPr>
        <w:t xml:space="preserve"> </w:t>
      </w:r>
      <w:r w:rsidRPr="001F4EFA">
        <w:rPr>
          <w:rFonts w:ascii="Tahoma" w:hAnsi="Tahoma" w:cs="Tahoma"/>
          <w:color w:val="000009"/>
        </w:rPr>
        <w:t>peculiaridades</w:t>
      </w:r>
      <w:r w:rsidRPr="001F4EFA">
        <w:rPr>
          <w:rFonts w:ascii="Tahoma" w:hAnsi="Tahoma" w:cs="Tahoma"/>
          <w:color w:val="000009"/>
          <w:spacing w:val="-8"/>
        </w:rPr>
        <w:t xml:space="preserve"> </w:t>
      </w:r>
      <w:r w:rsidRPr="001F4EFA">
        <w:rPr>
          <w:rFonts w:ascii="Tahoma" w:hAnsi="Tahoma" w:cs="Tahoma"/>
          <w:color w:val="000009"/>
        </w:rPr>
        <w:t>que</w:t>
      </w:r>
      <w:r w:rsidRPr="001F4EFA">
        <w:rPr>
          <w:rFonts w:ascii="Tahoma" w:hAnsi="Tahoma" w:cs="Tahoma"/>
          <w:color w:val="000009"/>
          <w:spacing w:val="-7"/>
        </w:rPr>
        <w:t xml:space="preserve"> </w:t>
      </w:r>
      <w:r w:rsidRPr="001F4EFA">
        <w:rPr>
          <w:rFonts w:ascii="Tahoma" w:hAnsi="Tahoma" w:cs="Tahoma"/>
          <w:color w:val="000009"/>
        </w:rPr>
        <w:t>incidem</w:t>
      </w:r>
      <w:r w:rsidRPr="001F4EFA">
        <w:rPr>
          <w:rFonts w:ascii="Tahoma" w:hAnsi="Tahoma" w:cs="Tahoma"/>
          <w:color w:val="000009"/>
          <w:spacing w:val="-8"/>
        </w:rPr>
        <w:t xml:space="preserve"> </w:t>
      </w:r>
      <w:r w:rsidRPr="001F4EFA">
        <w:rPr>
          <w:rFonts w:ascii="Tahoma" w:hAnsi="Tahoma" w:cs="Tahoma"/>
          <w:color w:val="000009"/>
        </w:rPr>
        <w:t>sobre</w:t>
      </w:r>
      <w:r w:rsidRPr="001F4EFA">
        <w:rPr>
          <w:rFonts w:ascii="Tahoma" w:hAnsi="Tahoma" w:cs="Tahoma"/>
          <w:color w:val="000009"/>
          <w:spacing w:val="-6"/>
        </w:rPr>
        <w:t xml:space="preserve"> </w:t>
      </w:r>
      <w:r w:rsidRPr="001F4EFA">
        <w:rPr>
          <w:rFonts w:ascii="Tahoma" w:hAnsi="Tahoma" w:cs="Tahoma"/>
          <w:color w:val="000009"/>
        </w:rPr>
        <w:t>a</w:t>
      </w:r>
      <w:r w:rsidRPr="001F4EFA">
        <w:rPr>
          <w:rFonts w:ascii="Tahoma" w:hAnsi="Tahoma" w:cs="Tahoma"/>
          <w:color w:val="000009"/>
          <w:spacing w:val="-2"/>
        </w:rPr>
        <w:t xml:space="preserve"> </w:t>
      </w:r>
      <w:r w:rsidRPr="001F4EFA">
        <w:rPr>
          <w:rFonts w:ascii="Tahoma" w:hAnsi="Tahoma" w:cs="Tahoma"/>
          <w:color w:val="000009"/>
        </w:rPr>
        <w:t>reserva</w:t>
      </w:r>
      <w:r w:rsidRPr="001F4EFA">
        <w:rPr>
          <w:rFonts w:ascii="Tahoma" w:hAnsi="Tahoma" w:cs="Tahoma"/>
          <w:color w:val="000009"/>
          <w:spacing w:val="-2"/>
        </w:rPr>
        <w:t xml:space="preserve"> </w:t>
      </w:r>
      <w:r w:rsidRPr="001F4EFA">
        <w:rPr>
          <w:rFonts w:ascii="Tahoma" w:hAnsi="Tahoma" w:cs="Tahoma"/>
          <w:color w:val="000009"/>
        </w:rPr>
        <w:t>de iniciativa</w:t>
      </w:r>
      <w:r w:rsidRPr="001F4EFA">
        <w:rPr>
          <w:rFonts w:ascii="Tahoma" w:hAnsi="Tahoma" w:cs="Tahoma"/>
          <w:color w:val="000009"/>
          <w:spacing w:val="-2"/>
        </w:rPr>
        <w:t xml:space="preserve"> </w:t>
      </w:r>
      <w:r w:rsidRPr="001F4EFA">
        <w:rPr>
          <w:rFonts w:ascii="Tahoma" w:hAnsi="Tahoma" w:cs="Tahoma"/>
          <w:color w:val="000009"/>
        </w:rPr>
        <w:t>do Poder Executivo, os incentivos corretos e os meios adequados para que projetos esportivos modernos e de qualidade sejam desenvolvidos na Cidade e financiados por empresas locais, considerando-se a relevância social da proposta, a atração de eventos esportivos para Niterói e o decorrente</w:t>
      </w:r>
      <w:r w:rsidRPr="001F4EFA">
        <w:rPr>
          <w:rFonts w:ascii="Tahoma" w:hAnsi="Tahoma" w:cs="Tahoma"/>
          <w:color w:val="000009"/>
          <w:spacing w:val="-9"/>
        </w:rPr>
        <w:t xml:space="preserve"> </w:t>
      </w:r>
      <w:r w:rsidRPr="001F4EFA">
        <w:rPr>
          <w:rFonts w:ascii="Tahoma" w:hAnsi="Tahoma" w:cs="Tahoma"/>
          <w:color w:val="000009"/>
        </w:rPr>
        <w:t>impulsionamento</w:t>
      </w:r>
      <w:r w:rsidRPr="001F4EFA">
        <w:rPr>
          <w:rFonts w:ascii="Tahoma" w:hAnsi="Tahoma" w:cs="Tahoma"/>
          <w:color w:val="000009"/>
          <w:spacing w:val="-8"/>
        </w:rPr>
        <w:t xml:space="preserve"> </w:t>
      </w:r>
      <w:r w:rsidRPr="001F4EFA">
        <w:rPr>
          <w:rFonts w:ascii="Tahoma" w:hAnsi="Tahoma" w:cs="Tahoma"/>
          <w:color w:val="000009"/>
        </w:rPr>
        <w:t>da</w:t>
      </w:r>
      <w:r w:rsidRPr="001F4EFA">
        <w:rPr>
          <w:rFonts w:ascii="Tahoma" w:hAnsi="Tahoma" w:cs="Tahoma"/>
          <w:color w:val="000009"/>
          <w:spacing w:val="-10"/>
        </w:rPr>
        <w:t xml:space="preserve"> </w:t>
      </w:r>
      <w:r w:rsidRPr="001F4EFA">
        <w:rPr>
          <w:rFonts w:ascii="Tahoma" w:hAnsi="Tahoma" w:cs="Tahoma"/>
          <w:color w:val="000009"/>
        </w:rPr>
        <w:t>economia</w:t>
      </w:r>
      <w:r w:rsidRPr="001F4EFA">
        <w:rPr>
          <w:rFonts w:ascii="Tahoma" w:hAnsi="Tahoma" w:cs="Tahoma"/>
          <w:color w:val="000009"/>
          <w:spacing w:val="-10"/>
        </w:rPr>
        <w:t xml:space="preserve"> </w:t>
      </w:r>
      <w:r w:rsidRPr="001F4EFA">
        <w:rPr>
          <w:rFonts w:ascii="Tahoma" w:hAnsi="Tahoma" w:cs="Tahoma"/>
          <w:color w:val="000009"/>
        </w:rPr>
        <w:t>local;</w:t>
      </w:r>
      <w:r w:rsidRPr="001F4EFA">
        <w:rPr>
          <w:rFonts w:ascii="Tahoma" w:hAnsi="Tahoma" w:cs="Tahoma"/>
          <w:color w:val="000009"/>
          <w:spacing w:val="-14"/>
        </w:rPr>
        <w:t xml:space="preserve"> </w:t>
      </w:r>
      <w:r w:rsidRPr="001F4EFA">
        <w:rPr>
          <w:rFonts w:ascii="Tahoma" w:hAnsi="Tahoma" w:cs="Tahoma"/>
          <w:color w:val="000009"/>
        </w:rPr>
        <w:t>destaque-se:</w:t>
      </w:r>
      <w:r w:rsidRPr="001F4EFA">
        <w:rPr>
          <w:rFonts w:ascii="Tahoma" w:hAnsi="Tahoma" w:cs="Tahoma"/>
          <w:color w:val="000009"/>
          <w:spacing w:val="-8"/>
        </w:rPr>
        <w:t xml:space="preserve"> </w:t>
      </w:r>
      <w:r w:rsidRPr="001F4EFA">
        <w:rPr>
          <w:rFonts w:ascii="Tahoma" w:hAnsi="Tahoma" w:cs="Tahoma"/>
          <w:color w:val="000009"/>
        </w:rPr>
        <w:t>Com</w:t>
      </w:r>
      <w:r w:rsidRPr="001F4EFA">
        <w:rPr>
          <w:rFonts w:ascii="Tahoma" w:hAnsi="Tahoma" w:cs="Tahoma"/>
          <w:color w:val="000009"/>
          <w:spacing w:val="-9"/>
        </w:rPr>
        <w:t xml:space="preserve"> </w:t>
      </w:r>
      <w:r w:rsidRPr="001F4EFA">
        <w:rPr>
          <w:rFonts w:ascii="Tahoma" w:hAnsi="Tahoma" w:cs="Tahoma"/>
          <w:color w:val="000009"/>
        </w:rPr>
        <w:t>a</w:t>
      </w:r>
      <w:r w:rsidRPr="001F4EFA">
        <w:rPr>
          <w:rFonts w:ascii="Tahoma" w:hAnsi="Tahoma" w:cs="Tahoma"/>
          <w:color w:val="000009"/>
          <w:spacing w:val="-10"/>
        </w:rPr>
        <w:t xml:space="preserve"> </w:t>
      </w:r>
      <w:r w:rsidRPr="001F4EFA">
        <w:rPr>
          <w:rFonts w:ascii="Tahoma" w:hAnsi="Tahoma" w:cs="Tahoma"/>
          <w:color w:val="000009"/>
        </w:rPr>
        <w:t>promoção</w:t>
      </w:r>
      <w:r w:rsidRPr="001F4EFA">
        <w:rPr>
          <w:rFonts w:ascii="Tahoma" w:hAnsi="Tahoma" w:cs="Tahoma"/>
          <w:color w:val="000009"/>
          <w:spacing w:val="-8"/>
        </w:rPr>
        <w:t xml:space="preserve"> </w:t>
      </w:r>
      <w:r w:rsidRPr="001F4EFA">
        <w:rPr>
          <w:rFonts w:ascii="Tahoma" w:hAnsi="Tahoma" w:cs="Tahoma"/>
          <w:color w:val="000009"/>
        </w:rPr>
        <w:t>da</w:t>
      </w:r>
      <w:r w:rsidRPr="001F4EFA">
        <w:rPr>
          <w:rFonts w:ascii="Tahoma" w:hAnsi="Tahoma" w:cs="Tahoma"/>
          <w:color w:val="000009"/>
          <w:spacing w:val="-10"/>
        </w:rPr>
        <w:t xml:space="preserve"> </w:t>
      </w:r>
      <w:r w:rsidRPr="001F4EFA">
        <w:rPr>
          <w:rFonts w:ascii="Tahoma" w:hAnsi="Tahoma" w:cs="Tahoma"/>
          <w:color w:val="000009"/>
        </w:rPr>
        <w:t>Cidade,</w:t>
      </w:r>
      <w:r w:rsidRPr="001F4EFA">
        <w:rPr>
          <w:rFonts w:ascii="Tahoma" w:hAnsi="Tahoma" w:cs="Tahoma"/>
          <w:color w:val="000009"/>
          <w:spacing w:val="-5"/>
        </w:rPr>
        <w:t xml:space="preserve"> </w:t>
      </w:r>
      <w:r w:rsidRPr="001F4EFA">
        <w:rPr>
          <w:rFonts w:ascii="Tahoma" w:hAnsi="Tahoma" w:cs="Tahoma"/>
          <w:color w:val="000009"/>
        </w:rPr>
        <w:t>dos</w:t>
      </w:r>
      <w:r w:rsidRPr="001F4EFA">
        <w:rPr>
          <w:rFonts w:ascii="Tahoma" w:hAnsi="Tahoma" w:cs="Tahoma"/>
          <w:color w:val="000009"/>
          <w:spacing w:val="-10"/>
        </w:rPr>
        <w:t xml:space="preserve"> </w:t>
      </w:r>
      <w:r w:rsidRPr="001F4EFA">
        <w:rPr>
          <w:rFonts w:ascii="Tahoma" w:hAnsi="Tahoma" w:cs="Tahoma"/>
          <w:color w:val="000009"/>
        </w:rPr>
        <w:t>seus serviços e das suas vocações naturais.</w:t>
      </w:r>
    </w:p>
    <w:p w:rsidR="00956981" w:rsidRPr="001F4EFA" w:rsidRDefault="00956981" w:rsidP="00956981">
      <w:pPr>
        <w:spacing w:after="120" w:line="276" w:lineRule="auto"/>
        <w:ind w:left="-567" w:right="-992" w:firstLine="1134"/>
        <w:jc w:val="both"/>
        <w:rPr>
          <w:rFonts w:ascii="Tahoma" w:hAnsi="Tahoma" w:cs="Tahoma"/>
          <w:sz w:val="24"/>
          <w:szCs w:val="24"/>
          <w:shd w:val="clear" w:color="auto" w:fill="FFFFFF"/>
          <w:lang w:val="pt-PT"/>
        </w:rPr>
      </w:pPr>
    </w:p>
    <w:p w:rsidR="00956981" w:rsidRPr="001F4EFA" w:rsidRDefault="00956981" w:rsidP="00956981">
      <w:pPr>
        <w:spacing w:after="120" w:line="276" w:lineRule="auto"/>
        <w:ind w:left="-567" w:right="-992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1F4EFA">
        <w:rPr>
          <w:rFonts w:ascii="Tahoma" w:hAnsi="Tahoma" w:cs="Tahoma"/>
          <w:bCs/>
          <w:sz w:val="24"/>
          <w:szCs w:val="24"/>
          <w:shd w:val="clear" w:color="auto" w:fill="FFFFFF"/>
        </w:rPr>
        <w:t>Indicação Nº 01819/2024</w:t>
      </w:r>
      <w:r w:rsidRPr="001F4EFA">
        <w:rPr>
          <w:rFonts w:ascii="Tahoma" w:hAnsi="Tahoma" w:cs="Tahoma"/>
          <w:b/>
          <w:bCs/>
          <w:sz w:val="24"/>
          <w:szCs w:val="24"/>
          <w:shd w:val="clear" w:color="auto" w:fill="FFFFFF"/>
        </w:rPr>
        <w:t xml:space="preserve"> - </w:t>
      </w:r>
      <w:r w:rsidRPr="001F4EFA">
        <w:rPr>
          <w:rFonts w:ascii="Tahoma" w:hAnsi="Tahoma" w:cs="Tahoma"/>
          <w:sz w:val="24"/>
          <w:szCs w:val="24"/>
          <w:shd w:val="clear" w:color="auto" w:fill="FFFFFF"/>
        </w:rPr>
        <w:t>Sugere ao Poder Executivo que institua um Programa Municipal de Apoio e Promoção ao Esporte no âmbito do Município de Niterói.</w:t>
      </w:r>
    </w:p>
    <w:p w:rsidR="00956981" w:rsidRPr="001F4EFA" w:rsidRDefault="00956981" w:rsidP="00956981">
      <w:pPr>
        <w:spacing w:after="120" w:line="276" w:lineRule="auto"/>
        <w:ind w:left="-567" w:right="-992" w:firstLine="709"/>
        <w:jc w:val="center"/>
        <w:rPr>
          <w:rFonts w:ascii="Tahoma" w:hAnsi="Tahoma" w:cs="Tahoma"/>
          <w:sz w:val="24"/>
          <w:szCs w:val="24"/>
        </w:rPr>
      </w:pPr>
      <w:r w:rsidRPr="001F4EFA">
        <w:rPr>
          <w:rFonts w:ascii="Tahoma" w:hAnsi="Tahoma" w:cs="Tahoma"/>
          <w:sz w:val="24"/>
          <w:szCs w:val="24"/>
        </w:rPr>
        <w:t>Por todo o exposto, justifica-se a presente indicação.</w:t>
      </w:r>
    </w:p>
    <w:p w:rsidR="00956981" w:rsidRPr="0078330F" w:rsidRDefault="00956981" w:rsidP="00956981">
      <w:pPr>
        <w:spacing w:after="0" w:line="276" w:lineRule="auto"/>
        <w:ind w:left="-567" w:right="-992" w:firstLine="709"/>
        <w:jc w:val="both"/>
        <w:rPr>
          <w:sz w:val="24"/>
          <w:szCs w:val="24"/>
        </w:rPr>
      </w:pPr>
    </w:p>
    <w:p w:rsidR="00956981" w:rsidRPr="00AF326A" w:rsidRDefault="00956981" w:rsidP="00956981">
      <w:pPr>
        <w:tabs>
          <w:tab w:val="left" w:pos="1905"/>
          <w:tab w:val="center" w:pos="4252"/>
        </w:tabs>
        <w:spacing w:after="120"/>
        <w:ind w:left="-567" w:right="-992"/>
        <w:rPr>
          <w:rFonts w:ascii="Times New Roman" w:hAnsi="Times New Roman" w:cs="Times New Roman"/>
          <w:b/>
          <w:sz w:val="24"/>
          <w:szCs w:val="24"/>
        </w:rPr>
      </w:pPr>
      <w:r w:rsidRPr="00E86B87">
        <w:rPr>
          <w:rFonts w:ascii="Times New Roman" w:hAnsi="Times New Roman" w:cs="Times New Roman"/>
          <w:b/>
        </w:rPr>
        <w:tab/>
      </w:r>
      <w:r w:rsidRPr="00E86B87">
        <w:rPr>
          <w:rFonts w:ascii="Times New Roman" w:hAnsi="Times New Roman" w:cs="Times New Roman"/>
          <w:b/>
        </w:rPr>
        <w:tab/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 de junho de 2024</w:t>
      </w:r>
    </w:p>
    <w:p w:rsidR="00956981" w:rsidRDefault="00956981" w:rsidP="00956981">
      <w:pPr>
        <w:spacing w:after="0" w:line="240" w:lineRule="auto"/>
        <w:ind w:left="-567" w:right="-992" w:firstLine="567"/>
      </w:pPr>
    </w:p>
    <w:p w:rsidR="00956981" w:rsidRDefault="00956981" w:rsidP="00956981">
      <w:pPr>
        <w:spacing w:after="0" w:line="240" w:lineRule="auto"/>
        <w:ind w:left="-426" w:right="-427" w:firstLine="567"/>
      </w:pPr>
    </w:p>
    <w:p w:rsidR="00956981" w:rsidRDefault="00956981" w:rsidP="00956981">
      <w:pPr>
        <w:spacing w:after="120"/>
        <w:ind w:left="-426" w:right="-427"/>
        <w:jc w:val="center"/>
        <w:rPr>
          <w:rFonts w:ascii="Times New Roman" w:hAnsi="Times New Roman" w:cs="Times New Roman"/>
          <w:b/>
        </w:rPr>
      </w:pPr>
    </w:p>
    <w:p w:rsidR="00956981" w:rsidRPr="00AF326A" w:rsidRDefault="00956981" w:rsidP="00956981">
      <w:pPr>
        <w:spacing w:after="0" w:line="240" w:lineRule="auto"/>
        <w:ind w:left="-1418" w:right="-99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AF326A">
        <w:rPr>
          <w:b/>
          <w:sz w:val="24"/>
          <w:szCs w:val="24"/>
        </w:rPr>
        <w:t>Carlos Otávio Dias Vaz – CASOTA</w:t>
      </w:r>
      <w:r>
        <w:rPr>
          <w:b/>
          <w:sz w:val="24"/>
          <w:szCs w:val="24"/>
        </w:rPr>
        <w:t xml:space="preserve">             Luiz Carlos </w:t>
      </w:r>
      <w:proofErr w:type="spellStart"/>
      <w:r>
        <w:rPr>
          <w:b/>
          <w:sz w:val="24"/>
          <w:szCs w:val="24"/>
        </w:rPr>
        <w:t>Gallo</w:t>
      </w:r>
      <w:proofErr w:type="spellEnd"/>
      <w:r>
        <w:rPr>
          <w:b/>
          <w:sz w:val="24"/>
          <w:szCs w:val="24"/>
        </w:rPr>
        <w:t xml:space="preserve"> de Freitas                 Fabiano Gonçalves</w:t>
      </w:r>
    </w:p>
    <w:p w:rsidR="00956981" w:rsidRPr="00AF326A" w:rsidRDefault="00956981" w:rsidP="00956981">
      <w:pPr>
        <w:spacing w:after="0" w:line="240" w:lineRule="auto"/>
        <w:ind w:left="-426" w:right="-42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AF326A">
        <w:rPr>
          <w:b/>
          <w:sz w:val="24"/>
          <w:szCs w:val="24"/>
        </w:rPr>
        <w:t>Vereador</w:t>
      </w:r>
      <w:r>
        <w:rPr>
          <w:b/>
          <w:sz w:val="24"/>
          <w:szCs w:val="24"/>
        </w:rPr>
        <w:t xml:space="preserve">                                                      </w:t>
      </w:r>
      <w:proofErr w:type="spellStart"/>
      <w:r w:rsidRPr="00AF326A">
        <w:rPr>
          <w:b/>
          <w:sz w:val="24"/>
          <w:szCs w:val="24"/>
        </w:rPr>
        <w:t>Vereador</w:t>
      </w:r>
      <w:proofErr w:type="spellEnd"/>
      <w:r>
        <w:rPr>
          <w:b/>
          <w:sz w:val="24"/>
          <w:szCs w:val="24"/>
        </w:rPr>
        <w:t xml:space="preserve">                                       </w:t>
      </w:r>
      <w:proofErr w:type="spellStart"/>
      <w:r w:rsidRPr="00AF326A">
        <w:rPr>
          <w:b/>
          <w:sz w:val="24"/>
          <w:szCs w:val="24"/>
        </w:rPr>
        <w:t>Vereador</w:t>
      </w:r>
      <w:proofErr w:type="spellEnd"/>
    </w:p>
    <w:p w:rsidR="00345A54" w:rsidRPr="00A503AB" w:rsidRDefault="00345A54" w:rsidP="00956981">
      <w:pPr>
        <w:spacing w:after="120"/>
        <w:jc w:val="center"/>
        <w:rPr>
          <w:rFonts w:ascii="Times New Roman" w:hAnsi="Times New Roman" w:cs="Times New Roman"/>
          <w:b/>
        </w:rPr>
      </w:pPr>
    </w:p>
    <w:sectPr w:rsidR="00345A54" w:rsidRPr="00A503AB" w:rsidSect="00956981">
      <w:headerReference w:type="default" r:id="rId7"/>
      <w:pgSz w:w="11906" w:h="16838"/>
      <w:pgMar w:top="1417" w:right="1983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2A2" w:rsidRDefault="00AF42A2" w:rsidP="006A59DA">
      <w:pPr>
        <w:spacing w:after="0" w:line="240" w:lineRule="auto"/>
      </w:pPr>
      <w:r>
        <w:separator/>
      </w:r>
    </w:p>
  </w:endnote>
  <w:endnote w:type="continuationSeparator" w:id="0">
    <w:p w:rsidR="00AF42A2" w:rsidRDefault="00AF42A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2A2" w:rsidRDefault="00AF42A2" w:rsidP="006A59DA">
      <w:pPr>
        <w:spacing w:after="0" w:line="240" w:lineRule="auto"/>
      </w:pPr>
      <w:r>
        <w:separator/>
      </w:r>
    </w:p>
  </w:footnote>
  <w:footnote w:type="continuationSeparator" w:id="0">
    <w:p w:rsidR="00AF42A2" w:rsidRDefault="00AF42A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3594"/>
    <w:rsid w:val="00157818"/>
    <w:rsid w:val="001867EB"/>
    <w:rsid w:val="001A7052"/>
    <w:rsid w:val="001E06EC"/>
    <w:rsid w:val="001F4EFA"/>
    <w:rsid w:val="00237F44"/>
    <w:rsid w:val="00251CA8"/>
    <w:rsid w:val="002914F3"/>
    <w:rsid w:val="002A17BE"/>
    <w:rsid w:val="002B0A46"/>
    <w:rsid w:val="002B5F9B"/>
    <w:rsid w:val="002C58AC"/>
    <w:rsid w:val="00345A54"/>
    <w:rsid w:val="003E0641"/>
    <w:rsid w:val="003E1ED9"/>
    <w:rsid w:val="003E532B"/>
    <w:rsid w:val="0042157F"/>
    <w:rsid w:val="004239D1"/>
    <w:rsid w:val="0044225F"/>
    <w:rsid w:val="004A3E1A"/>
    <w:rsid w:val="004E2239"/>
    <w:rsid w:val="00512359"/>
    <w:rsid w:val="00513866"/>
    <w:rsid w:val="005149D7"/>
    <w:rsid w:val="005479B2"/>
    <w:rsid w:val="0056091E"/>
    <w:rsid w:val="00595992"/>
    <w:rsid w:val="005B152A"/>
    <w:rsid w:val="005D1CC2"/>
    <w:rsid w:val="006422EA"/>
    <w:rsid w:val="00650C30"/>
    <w:rsid w:val="00671372"/>
    <w:rsid w:val="006A59DA"/>
    <w:rsid w:val="007218DA"/>
    <w:rsid w:val="007839F8"/>
    <w:rsid w:val="00791D76"/>
    <w:rsid w:val="008C2050"/>
    <w:rsid w:val="00915FCC"/>
    <w:rsid w:val="00951B78"/>
    <w:rsid w:val="00956981"/>
    <w:rsid w:val="009B6E7C"/>
    <w:rsid w:val="009F2AEB"/>
    <w:rsid w:val="00A503AB"/>
    <w:rsid w:val="00A80C02"/>
    <w:rsid w:val="00AF42A2"/>
    <w:rsid w:val="00AF68B8"/>
    <w:rsid w:val="00B20590"/>
    <w:rsid w:val="00B319D7"/>
    <w:rsid w:val="00B63082"/>
    <w:rsid w:val="00B63D25"/>
    <w:rsid w:val="00BE708A"/>
    <w:rsid w:val="00C40895"/>
    <w:rsid w:val="00C62726"/>
    <w:rsid w:val="00D44F71"/>
    <w:rsid w:val="00D45F09"/>
    <w:rsid w:val="00E30945"/>
    <w:rsid w:val="00E35F1F"/>
    <w:rsid w:val="00EF6605"/>
    <w:rsid w:val="00EF6E25"/>
    <w:rsid w:val="00F15EB4"/>
    <w:rsid w:val="00F775D0"/>
    <w:rsid w:val="00F81EE3"/>
    <w:rsid w:val="00FA2EF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56981"/>
    <w:pPr>
      <w:widowControl w:val="0"/>
      <w:autoSpaceDE w:val="0"/>
      <w:autoSpaceDN w:val="0"/>
      <w:spacing w:after="0" w:line="240" w:lineRule="auto"/>
      <w:ind w:left="215" w:firstLine="567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56981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63C35-6F63-497B-BEA9-F702CAEAF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2024-06-12T19:59:00Z</cp:lastPrinted>
  <dcterms:created xsi:type="dcterms:W3CDTF">2024-06-12T20:03:00Z</dcterms:created>
  <dcterms:modified xsi:type="dcterms:W3CDTF">2024-06-12T20:03:00Z</dcterms:modified>
</cp:coreProperties>
</file>