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de políticas públicas de valorização da cultura da Região Leste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Criação da caravana cultural das comunidades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de políticas públicas de valorização da cultura da Região Leste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5072 |Operacionalização das Obras e Reformas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102.318.616,56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emenda proposta na Lei Orçamentária Anual (LOA) de Niterói tem como objetivo prioritário a implementação de políticas públicas que valorizem e fortaleçam a cultura presente na região leste da cidade. Esta ação se justifica pela necessidade de equidade na distribuição de recursos, garantindo que todas as comunidades tenham acesso igualitário às iniciativas culturais.</w:t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  <w:t xml:space="preserve">Ao direcionar investimentos específicos para a região leste, busca-se preservar e promover as tradições locais, estimulando a participação ativa da comunidade em eventos culturais, além de fomentar a produção artística e criativa local. Esta emenda visa, assim, criar um ambiente propício para o florescimento das expressões culturais únicas da região, contribuindo para o enriquecimento do cenário cultural de Niterói como um todo.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