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a Projetos de Promoção da Cidade como Polo de Criação e Consumo de Jogos Eletrônicos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Apoio a Projetos de Promoção da Cidade como Polo de Criação e Consumo de Jogos Eletrônicos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a Projetos de Promoção da Cidade como Polo de Criação e Consumo de Jogos Eletrônicos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indústria dos jogos eletrônicos se destaca como uma das mais proeminentes e múltiplas da economia criativa. Envolvendo música, desenho, pintura, modelagem, fotografia e tantas outras áreas, é setor econômico que já superou a soma dos faturamentos das indústrias cinematográfica e fonográfica em nível global. 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com a presença da UFF e, especialmente, com um dos mais renomados polos de estudos de mídias de jogos, o UFF MediaLab, precisa dar destaque à sua potencialidade como área para produção de jogos, convidando estúdios, empreendedores e investidores a aportarem recursos e gerarem emprego e renda na área em nossa cidade. Um evento que possa apresentar a cidade a este perfil de pessoas e, adicionalmente, possa movimentar a cidade como consumidora deste tipo de material cultural faz-se mister para inserirmos a cidade em um novo patamar dentro do cenário nacional e internacional da economia 4.0, ligada à tecnologia, à cultura e criatividade.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