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B69" w:rsidRDefault="002D5BA3">
      <w:pPr>
        <w:jc w:val="center"/>
        <w:rPr>
          <w:rFonts w:ascii="Times New Roman" w:eastAsia="Times New Roman" w:hAnsi="Times New Roman" w:cs="Times New Roman"/>
        </w:rPr>
      </w:pPr>
      <w:r>
        <w:rPr>
          <w:noProof/>
          <w:lang w:val="pt-BR"/>
        </w:rPr>
        <w:drawing>
          <wp:inline distT="114300" distB="114300" distL="114300" distR="114300">
            <wp:extent cx="819150" cy="1000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819150" cy="1000125"/>
                    </a:xfrm>
                    <a:prstGeom prst="rect">
                      <a:avLst/>
                    </a:prstGeom>
                    <a:ln/>
                  </pic:spPr>
                </pic:pic>
              </a:graphicData>
            </a:graphic>
          </wp:inline>
        </w:drawing>
      </w:r>
      <w:bookmarkStart w:id="0" w:name="_GoBack"/>
      <w:bookmarkEnd w:id="0"/>
    </w:p>
    <w:p w:rsidR="00802B69" w:rsidRDefault="002D5BA3">
      <w:pPr>
        <w:spacing w:before="240" w:after="240"/>
        <w:jc w:val="center"/>
        <w:rPr>
          <w:rFonts w:ascii="Times New Roman" w:eastAsia="Times New Roman" w:hAnsi="Times New Roman" w:cs="Times New Roman"/>
        </w:rPr>
      </w:pPr>
      <w:r>
        <w:rPr>
          <w:rFonts w:ascii="Times New Roman" w:eastAsia="Times New Roman" w:hAnsi="Times New Roman" w:cs="Times New Roman"/>
        </w:rPr>
        <w:t>CÂMARA MUNICIPAL DE NITERÓI</w:t>
      </w:r>
    </w:p>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GABINETE DA VEREADORA BENNY BRIOLLY</w:t>
      </w:r>
    </w:p>
    <w:p w:rsidR="00802B69" w:rsidRDefault="002D5BA3">
      <w:pPr>
        <w:spacing w:befor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EMENDA ADITIVA Nº________ AO PROJETO DE LEI Nº 072/2024</w:t>
      </w:r>
    </w:p>
    <w:p w:rsidR="00802B69" w:rsidRDefault="002D5BA3">
      <w:pPr>
        <w:spacing w:before="240" w:after="120"/>
        <w:jc w:val="center"/>
        <w:rPr>
          <w:rFonts w:ascii="Times New Roman" w:eastAsia="Times New Roman" w:hAnsi="Times New Roman" w:cs="Times New Roman"/>
          <w:b/>
          <w:sz w:val="10"/>
          <w:szCs w:val="10"/>
        </w:rPr>
      </w:pPr>
      <w:r>
        <w:rPr>
          <w:rFonts w:ascii="Times New Roman" w:eastAsia="Times New Roman" w:hAnsi="Times New Roman" w:cs="Times New Roman"/>
          <w:b/>
          <w:sz w:val="10"/>
          <w:szCs w:val="10"/>
        </w:rPr>
        <w:t xml:space="preserve">  </w:t>
      </w:r>
    </w:p>
    <w:p w:rsidR="00802B69" w:rsidRDefault="002D5BA3">
      <w:pPr>
        <w:ind w:left="468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Acrescenta ação </w:t>
      </w:r>
      <w:r>
        <w:rPr>
          <w:rFonts w:ascii="Montserrat" w:eastAsia="Montserrat" w:hAnsi="Montserrat" w:cs="Montserrat"/>
          <w:b/>
          <w:color w:val="4C485F"/>
          <w:sz w:val="24"/>
          <w:szCs w:val="24"/>
          <w:shd w:val="clear" w:color="auto" w:fill="FEFEFE"/>
        </w:rPr>
        <w:t>regularização fundiária dos terreiros</w:t>
      </w:r>
      <w:r>
        <w:rPr>
          <w:rFonts w:ascii="Times New Roman" w:eastAsia="Times New Roman" w:hAnsi="Times New Roman" w:cs="Times New Roman"/>
          <w:sz w:val="18"/>
          <w:szCs w:val="18"/>
        </w:rPr>
        <w:t xml:space="preserve"> </w:t>
      </w:r>
      <w:r>
        <w:rPr>
          <w:rFonts w:ascii="Times New Roman" w:eastAsia="Times New Roman" w:hAnsi="Times New Roman" w:cs="Times New Roman"/>
          <w:b/>
          <w:sz w:val="24"/>
          <w:szCs w:val="24"/>
        </w:rPr>
        <w:t xml:space="preserve"> no Anexo de Prioridades e Metas do Projeto de Lei de Diretrizes Orçamentárias para o exercício financeiro de 2025.</w:t>
      </w:r>
    </w:p>
    <w:p w:rsidR="00802B69" w:rsidRDefault="002D5BA3">
      <w:pPr>
        <w:ind w:left="396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after="120"/>
        <w:jc w:val="both"/>
        <w:rPr>
          <w:rFonts w:ascii="Times New Roman" w:eastAsia="Times New Roman" w:hAnsi="Times New Roman" w:cs="Times New Roman"/>
        </w:rPr>
      </w:pPr>
      <w:r>
        <w:rPr>
          <w:rFonts w:ascii="Times New Roman" w:eastAsia="Times New Roman" w:hAnsi="Times New Roman" w:cs="Times New Roman"/>
          <w:b/>
        </w:rPr>
        <w:t xml:space="preserve">Art. 1º </w:t>
      </w:r>
      <w:r>
        <w:rPr>
          <w:rFonts w:ascii="Times New Roman" w:eastAsia="Times New Roman" w:hAnsi="Times New Roman" w:cs="Times New Roman"/>
        </w:rPr>
        <w:t>- Fica adicionado ao Anexo de Metas e Prioridades no Projeto de Lei 072/2024 a ação abaixo:</w:t>
      </w:r>
    </w:p>
    <w:p w:rsidR="00802B69" w:rsidRDefault="00802B69">
      <w:pPr>
        <w:spacing w:before="240" w:after="120"/>
        <w:jc w:val="both"/>
        <w:rPr>
          <w:rFonts w:ascii="Times New Roman" w:eastAsia="Times New Roman" w:hAnsi="Times New Roman" w:cs="Times New Roman"/>
          <w:b/>
        </w:rPr>
      </w:pPr>
    </w:p>
    <w:tbl>
      <w:tblPr>
        <w:tblStyle w:val="a"/>
        <w:tblW w:w="9330" w:type="dxa"/>
        <w:tblInd w:w="-9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160"/>
        <w:gridCol w:w="1485"/>
        <w:gridCol w:w="2025"/>
        <w:gridCol w:w="1740"/>
        <w:gridCol w:w="1920"/>
      </w:tblGrid>
      <w:tr w:rsidR="00802B69">
        <w:trPr>
          <w:trHeight w:val="300"/>
        </w:trPr>
        <w:tc>
          <w:tcPr>
            <w:tcW w:w="2160" w:type="dxa"/>
            <w:tcBorders>
              <w:top w:val="single" w:sz="6" w:space="0" w:color="353535"/>
              <w:left w:val="single" w:sz="6" w:space="0" w:color="353535"/>
              <w:bottom w:val="single" w:sz="6" w:space="0" w:color="333333"/>
              <w:right w:val="single" w:sz="6" w:space="0" w:color="353535"/>
            </w:tcBorders>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PROGRAMA</w:t>
            </w:r>
          </w:p>
        </w:tc>
        <w:tc>
          <w:tcPr>
            <w:tcW w:w="7170" w:type="dxa"/>
            <w:gridSpan w:val="4"/>
            <w:tcBorders>
              <w:top w:val="single" w:sz="6" w:space="0" w:color="353535"/>
              <w:left w:val="nil"/>
              <w:bottom w:val="single" w:sz="6" w:space="0" w:color="333333"/>
              <w:right w:val="single" w:sz="6" w:space="0" w:color="353535"/>
            </w:tcBorders>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rPr>
            </w:pPr>
            <w:r>
              <w:rPr>
                <w:rFonts w:ascii="Times New Roman" w:eastAsia="Times New Roman" w:hAnsi="Times New Roman" w:cs="Times New Roman"/>
              </w:rPr>
              <w:t xml:space="preserve">0141 | HABITAÇÃO E REGULARIZAÇÃO FUNDIÁRIA </w:t>
            </w:r>
          </w:p>
        </w:tc>
      </w:tr>
      <w:tr w:rsidR="00802B69">
        <w:trPr>
          <w:trHeight w:val="285"/>
        </w:trPr>
        <w:tc>
          <w:tcPr>
            <w:tcW w:w="2160" w:type="dxa"/>
            <w:tcBorders>
              <w:top w:val="nil"/>
              <w:left w:val="single" w:sz="6" w:space="0" w:color="353535"/>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TÍTULO DA AÇÃO</w:t>
            </w:r>
          </w:p>
        </w:tc>
        <w:tc>
          <w:tcPr>
            <w:tcW w:w="7170" w:type="dxa"/>
            <w:gridSpan w:val="4"/>
            <w:tcBorders>
              <w:top w:val="nil"/>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sz w:val="18"/>
                <w:szCs w:val="18"/>
              </w:rPr>
            </w:pPr>
            <w:r>
              <w:rPr>
                <w:rFonts w:ascii="Montserrat" w:eastAsia="Montserrat" w:hAnsi="Montserrat" w:cs="Montserrat"/>
                <w:color w:val="4C485F"/>
                <w:sz w:val="24"/>
                <w:szCs w:val="24"/>
                <w:shd w:val="clear" w:color="auto" w:fill="FEFEFE"/>
              </w:rPr>
              <w:t>regularização fundiária dos terreiros</w:t>
            </w:r>
            <w:r>
              <w:rPr>
                <w:rFonts w:ascii="Times New Roman" w:eastAsia="Times New Roman" w:hAnsi="Times New Roman" w:cs="Times New Roman"/>
                <w:sz w:val="18"/>
                <w:szCs w:val="18"/>
              </w:rPr>
              <w:t xml:space="preserve"> </w:t>
            </w:r>
          </w:p>
        </w:tc>
      </w:tr>
      <w:tr w:rsidR="00802B69">
        <w:trPr>
          <w:trHeight w:val="300"/>
        </w:trPr>
        <w:tc>
          <w:tcPr>
            <w:tcW w:w="2160" w:type="dxa"/>
            <w:tcBorders>
              <w:top w:val="nil"/>
              <w:left w:val="single" w:sz="6" w:space="0" w:color="353535"/>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DESCRIÇÃO DA AÇÃO</w:t>
            </w:r>
          </w:p>
        </w:tc>
        <w:tc>
          <w:tcPr>
            <w:tcW w:w="7170" w:type="dxa"/>
            <w:gridSpan w:val="4"/>
            <w:tcBorders>
              <w:top w:val="nil"/>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rPr>
            </w:pPr>
            <w:r>
              <w:rPr>
                <w:rFonts w:ascii="Times New Roman" w:eastAsia="Times New Roman" w:hAnsi="Times New Roman" w:cs="Times New Roman"/>
              </w:rPr>
              <w:t xml:space="preserve">Ação para regularização fundiária dos terreiros de religião de matrizes africanas </w:t>
            </w:r>
          </w:p>
        </w:tc>
      </w:tr>
      <w:tr w:rsidR="00802B69">
        <w:trPr>
          <w:trHeight w:val="300"/>
        </w:trPr>
        <w:tc>
          <w:tcPr>
            <w:tcW w:w="2160" w:type="dxa"/>
            <w:tcBorders>
              <w:top w:val="nil"/>
              <w:left w:val="single" w:sz="6" w:space="0" w:color="353535"/>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TIPOLOGIA </w:t>
            </w:r>
            <w:r>
              <w:rPr>
                <w:rFonts w:ascii="Times New Roman" w:eastAsia="Times New Roman" w:hAnsi="Times New Roman" w:cs="Times New Roman"/>
                <w:sz w:val="18"/>
                <w:szCs w:val="18"/>
              </w:rPr>
              <w:t xml:space="preserve"> </w:t>
            </w:r>
          </w:p>
        </w:tc>
        <w:tc>
          <w:tcPr>
            <w:tcW w:w="3510" w:type="dxa"/>
            <w:gridSpan w:val="2"/>
            <w:tcBorders>
              <w:top w:val="nil"/>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PROJETO</w:t>
            </w:r>
          </w:p>
        </w:tc>
        <w:tc>
          <w:tcPr>
            <w:tcW w:w="1740" w:type="dxa"/>
            <w:tcBorders>
              <w:top w:val="nil"/>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FUNÇÃO </w:t>
            </w:r>
            <w:r>
              <w:rPr>
                <w:rFonts w:ascii="Times New Roman" w:eastAsia="Times New Roman" w:hAnsi="Times New Roman" w:cs="Times New Roman"/>
                <w:sz w:val="18"/>
                <w:szCs w:val="18"/>
              </w:rPr>
              <w:t xml:space="preserve"> </w:t>
            </w:r>
          </w:p>
        </w:tc>
        <w:tc>
          <w:tcPr>
            <w:tcW w:w="1920" w:type="dxa"/>
            <w:tcBorders>
              <w:top w:val="nil"/>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HABITACAO</w:t>
            </w:r>
          </w:p>
        </w:tc>
      </w:tr>
      <w:tr w:rsidR="00802B69">
        <w:trPr>
          <w:trHeight w:val="690"/>
        </w:trPr>
        <w:tc>
          <w:tcPr>
            <w:tcW w:w="2160" w:type="dxa"/>
            <w:tcBorders>
              <w:top w:val="nil"/>
              <w:left w:val="single" w:sz="6" w:space="0" w:color="353535"/>
              <w:bottom w:val="single" w:sz="6" w:space="0" w:color="353535"/>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UNIDADE ORÇAMENTÁRIA/ÓRGÃO </w:t>
            </w:r>
            <w:r>
              <w:rPr>
                <w:rFonts w:ascii="Times New Roman" w:eastAsia="Times New Roman" w:hAnsi="Times New Roman" w:cs="Times New Roman"/>
                <w:sz w:val="18"/>
                <w:szCs w:val="18"/>
              </w:rPr>
              <w:t xml:space="preserve"> </w:t>
            </w:r>
          </w:p>
        </w:tc>
        <w:tc>
          <w:tcPr>
            <w:tcW w:w="3510" w:type="dxa"/>
            <w:gridSpan w:val="2"/>
            <w:tcBorders>
              <w:top w:val="nil"/>
              <w:left w:val="nil"/>
              <w:bottom w:val="single" w:sz="6" w:space="0" w:color="353535"/>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SECRETARIA MUNICIPAL DE HABITACAO E REGULARIZACAO</w:t>
            </w:r>
          </w:p>
        </w:tc>
        <w:tc>
          <w:tcPr>
            <w:tcW w:w="1740" w:type="dxa"/>
            <w:tcBorders>
              <w:top w:val="nil"/>
              <w:left w:val="nil"/>
              <w:bottom w:val="single" w:sz="6" w:space="0" w:color="353535"/>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SUBFUNÇÃO </w:t>
            </w:r>
            <w:r>
              <w:rPr>
                <w:rFonts w:ascii="Times New Roman" w:eastAsia="Times New Roman" w:hAnsi="Times New Roman" w:cs="Times New Roman"/>
                <w:sz w:val="18"/>
                <w:szCs w:val="18"/>
              </w:rPr>
              <w:t xml:space="preserve"> </w:t>
            </w:r>
          </w:p>
        </w:tc>
        <w:tc>
          <w:tcPr>
            <w:tcW w:w="1920" w:type="dxa"/>
            <w:tcBorders>
              <w:top w:val="nil"/>
              <w:left w:val="nil"/>
              <w:bottom w:val="single" w:sz="6" w:space="0" w:color="353535"/>
              <w:right w:val="single" w:sz="6" w:space="0" w:color="353535"/>
            </w:tcBorders>
            <w:shd w:val="clear" w:color="auto" w:fill="auto"/>
            <w:tcMar>
              <w:top w:w="0" w:type="dxa"/>
              <w:left w:w="0" w:type="dxa"/>
              <w:bottom w:w="0" w:type="dxa"/>
              <w:right w:w="0" w:type="dxa"/>
            </w:tcMar>
          </w:tcPr>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HABITACAO URBANA</w:t>
            </w:r>
          </w:p>
        </w:tc>
      </w:tr>
      <w:tr w:rsidR="00802B69">
        <w:trPr>
          <w:trHeight w:val="315"/>
        </w:trPr>
        <w:tc>
          <w:tcPr>
            <w:tcW w:w="9330" w:type="dxa"/>
            <w:gridSpan w:val="5"/>
            <w:tcBorders>
              <w:top w:val="nil"/>
              <w:left w:val="single" w:sz="6" w:space="0" w:color="353535"/>
              <w:bottom w:val="single" w:sz="6" w:space="0" w:color="353535"/>
              <w:right w:val="single" w:sz="6" w:space="0" w:color="353535"/>
            </w:tcBorders>
            <w:shd w:val="clear" w:color="auto" w:fill="EAEAEA"/>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METAS FÍSICO-FINANCEIRAS DA AÇÃO ORÇAMENTÁRIA – ANO 2025</w:t>
            </w:r>
          </w:p>
        </w:tc>
      </w:tr>
      <w:tr w:rsidR="00802B69">
        <w:trPr>
          <w:trHeight w:val="465"/>
        </w:trPr>
        <w:tc>
          <w:tcPr>
            <w:tcW w:w="2160" w:type="dxa"/>
            <w:tcBorders>
              <w:top w:val="nil"/>
              <w:left w:val="single" w:sz="6" w:space="0" w:color="333333"/>
              <w:bottom w:val="nil"/>
              <w:right w:val="single" w:sz="6" w:space="0" w:color="333333"/>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PRODUTO</w:t>
            </w:r>
          </w:p>
        </w:tc>
        <w:tc>
          <w:tcPr>
            <w:tcW w:w="1485" w:type="dxa"/>
            <w:tcBorders>
              <w:top w:val="nil"/>
              <w:left w:val="nil"/>
              <w:bottom w:val="nil"/>
              <w:right w:val="single" w:sz="6" w:space="0" w:color="353535"/>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UNIDADE DE MEDIDA</w:t>
            </w:r>
          </w:p>
        </w:tc>
        <w:tc>
          <w:tcPr>
            <w:tcW w:w="2025" w:type="dxa"/>
            <w:tcBorders>
              <w:top w:val="nil"/>
              <w:left w:val="nil"/>
              <w:bottom w:val="nil"/>
              <w:right w:val="single" w:sz="6" w:space="0" w:color="333333"/>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 FÍSICA</w:t>
            </w:r>
          </w:p>
        </w:tc>
        <w:tc>
          <w:tcPr>
            <w:tcW w:w="3660" w:type="dxa"/>
            <w:gridSpan w:val="2"/>
            <w:tcBorders>
              <w:top w:val="nil"/>
              <w:left w:val="nil"/>
              <w:bottom w:val="nil"/>
              <w:right w:val="single" w:sz="6" w:space="0" w:color="333333"/>
            </w:tcBorders>
            <w:shd w:val="clear" w:color="auto" w:fill="auto"/>
            <w:tcMar>
              <w:top w:w="0" w:type="dxa"/>
              <w:left w:w="0" w:type="dxa"/>
              <w:bottom w:w="0" w:type="dxa"/>
              <w:right w:w="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 FINANCEIRA</w:t>
            </w:r>
          </w:p>
        </w:tc>
      </w:tr>
      <w:tr w:rsidR="00802B69">
        <w:trPr>
          <w:trHeight w:val="315"/>
        </w:trPr>
        <w:tc>
          <w:tcPr>
            <w:tcW w:w="2160" w:type="dxa"/>
            <w:tcBorders>
              <w:top w:val="single" w:sz="6" w:space="0" w:color="333333"/>
              <w:left w:val="single" w:sz="6" w:space="0" w:color="353535"/>
              <w:bottom w:val="single" w:sz="6" w:space="0" w:color="333333"/>
              <w:right w:val="single" w:sz="6" w:space="0" w:color="333333"/>
            </w:tcBorders>
            <w:shd w:val="clear" w:color="auto" w:fill="auto"/>
            <w:tcMar>
              <w:top w:w="0" w:type="dxa"/>
              <w:left w:w="0" w:type="dxa"/>
              <w:bottom w:w="0" w:type="dxa"/>
              <w:right w:w="0" w:type="dxa"/>
            </w:tcMar>
          </w:tcPr>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Certidão concedida</w:t>
            </w:r>
          </w:p>
        </w:tc>
        <w:tc>
          <w:tcPr>
            <w:tcW w:w="1485" w:type="dxa"/>
            <w:tcBorders>
              <w:top w:val="single" w:sz="6" w:space="0" w:color="333333"/>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Unidade</w:t>
            </w:r>
          </w:p>
        </w:tc>
        <w:tc>
          <w:tcPr>
            <w:tcW w:w="2025" w:type="dxa"/>
            <w:tcBorders>
              <w:top w:val="single" w:sz="6" w:space="0" w:color="333333"/>
              <w:left w:val="nil"/>
              <w:bottom w:val="single" w:sz="6" w:space="0" w:color="333333"/>
              <w:right w:val="single" w:sz="6" w:space="0" w:color="333333"/>
            </w:tcBorders>
            <w:shd w:val="clear" w:color="auto" w:fill="auto"/>
            <w:tcMar>
              <w:top w:w="0" w:type="dxa"/>
              <w:left w:w="0" w:type="dxa"/>
              <w:bottom w:w="0" w:type="dxa"/>
              <w:right w:w="0" w:type="dxa"/>
            </w:tcMar>
          </w:tcPr>
          <w:p w:rsidR="00802B69" w:rsidRDefault="00802B69">
            <w:pPr>
              <w:jc w:val="center"/>
              <w:rPr>
                <w:rFonts w:ascii="Times New Roman" w:eastAsia="Times New Roman" w:hAnsi="Times New Roman" w:cs="Times New Roman"/>
              </w:rPr>
            </w:pPr>
          </w:p>
        </w:tc>
        <w:tc>
          <w:tcPr>
            <w:tcW w:w="3660" w:type="dxa"/>
            <w:gridSpan w:val="2"/>
            <w:tcBorders>
              <w:top w:val="single" w:sz="6" w:space="0" w:color="333333"/>
              <w:left w:val="nil"/>
              <w:bottom w:val="single" w:sz="6" w:space="0" w:color="333333"/>
              <w:right w:val="single" w:sz="6" w:space="0" w:color="353535"/>
            </w:tcBorders>
            <w:shd w:val="clear" w:color="auto" w:fill="auto"/>
            <w:tcMar>
              <w:top w:w="0" w:type="dxa"/>
              <w:left w:w="0" w:type="dxa"/>
              <w:bottom w:w="0" w:type="dxa"/>
              <w:right w:w="0" w:type="dxa"/>
            </w:tcMar>
          </w:tcPr>
          <w:p w:rsidR="00802B69" w:rsidRDefault="002D5BA3">
            <w:pPr>
              <w:jc w:val="center"/>
              <w:rPr>
                <w:rFonts w:ascii="Times New Roman" w:eastAsia="Times New Roman" w:hAnsi="Times New Roman" w:cs="Times New Roman"/>
              </w:rPr>
            </w:pPr>
            <w:r>
              <w:rPr>
                <w:rFonts w:ascii="Times New Roman" w:eastAsia="Times New Roman" w:hAnsi="Times New Roman" w:cs="Times New Roman"/>
              </w:rPr>
              <w:t>R$2.000.000,00</w:t>
            </w:r>
          </w:p>
        </w:tc>
      </w:tr>
    </w:tbl>
    <w:p w:rsidR="00802B69" w:rsidRDefault="002D5BA3">
      <w:pPr>
        <w:spacing w:before="240" w:after="120"/>
        <w:jc w:val="both"/>
        <w:rPr>
          <w:rFonts w:ascii="Times New Roman" w:eastAsia="Times New Roman" w:hAnsi="Times New Roman" w:cs="Times New Roman"/>
        </w:rPr>
      </w:pPr>
      <w:r>
        <w:rPr>
          <w:rFonts w:ascii="Times New Roman" w:eastAsia="Times New Roman" w:hAnsi="Times New Roman" w:cs="Times New Roman"/>
          <w:b/>
        </w:rPr>
        <w:t xml:space="preserve"> </w:t>
      </w:r>
    </w:p>
    <w:p w:rsidR="00802B69" w:rsidRDefault="002D5BA3">
      <w:pPr>
        <w:spacing w:before="240" w:after="12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802B69">
      <w:pPr>
        <w:spacing w:before="240" w:after="120"/>
        <w:jc w:val="both"/>
        <w:rPr>
          <w:rFonts w:ascii="Times New Roman" w:eastAsia="Times New Roman" w:hAnsi="Times New Roman" w:cs="Times New Roman"/>
          <w:b/>
        </w:rPr>
      </w:pPr>
    </w:p>
    <w:p w:rsidR="00802B69" w:rsidRDefault="002D5BA3">
      <w:pPr>
        <w:spacing w:before="240" w:after="120"/>
        <w:jc w:val="both"/>
        <w:rPr>
          <w:rFonts w:ascii="Times New Roman" w:eastAsia="Times New Roman" w:hAnsi="Times New Roman" w:cs="Times New Roman"/>
        </w:rPr>
      </w:pPr>
      <w:r>
        <w:rPr>
          <w:rFonts w:ascii="Times New Roman" w:eastAsia="Times New Roman" w:hAnsi="Times New Roman" w:cs="Times New Roman"/>
          <w:b/>
        </w:rPr>
        <w:t xml:space="preserve">Art. 2º </w:t>
      </w:r>
      <w:r>
        <w:rPr>
          <w:rFonts w:ascii="Times New Roman" w:eastAsia="Times New Roman" w:hAnsi="Times New Roman" w:cs="Times New Roman"/>
        </w:rPr>
        <w:t>- Os valores para a execução da ação acima, serão compensados conforme quadro abaixo:</w:t>
      </w:r>
    </w:p>
    <w:p w:rsidR="00802B69" w:rsidRDefault="002D5BA3">
      <w:pPr>
        <w:spacing w:before="240" w:after="12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0"/>
        <w:tblW w:w="886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655"/>
        <w:gridCol w:w="6210"/>
      </w:tblGrid>
      <w:tr w:rsidR="00802B69">
        <w:trPr>
          <w:trHeight w:val="270"/>
        </w:trPr>
        <w:tc>
          <w:tcPr>
            <w:tcW w:w="2655" w:type="dxa"/>
            <w:tcBorders>
              <w:top w:val="single" w:sz="6" w:space="0" w:color="353535"/>
              <w:left w:val="single" w:sz="6" w:space="0" w:color="353535"/>
              <w:bottom w:val="single" w:sz="6" w:space="0" w:color="333333"/>
              <w:right w:val="single" w:sz="6" w:space="0" w:color="353535"/>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PROGRAMA</w:t>
            </w:r>
          </w:p>
        </w:tc>
        <w:tc>
          <w:tcPr>
            <w:tcW w:w="6210" w:type="dxa"/>
            <w:tcBorders>
              <w:top w:val="single" w:sz="6" w:space="0" w:color="353535"/>
              <w:left w:val="nil"/>
              <w:bottom w:val="single" w:sz="6" w:space="0" w:color="333333"/>
              <w:right w:val="single" w:sz="6" w:space="0" w:color="353535"/>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0010 | CIDADE URBANIZADA </w:t>
            </w:r>
          </w:p>
        </w:tc>
      </w:tr>
      <w:tr w:rsidR="00802B69">
        <w:trPr>
          <w:trHeight w:val="465"/>
        </w:trPr>
        <w:tc>
          <w:tcPr>
            <w:tcW w:w="2655" w:type="dxa"/>
            <w:tcBorders>
              <w:top w:val="nil"/>
              <w:left w:val="single" w:sz="6" w:space="0" w:color="353535"/>
              <w:bottom w:val="single" w:sz="6" w:space="0" w:color="333333"/>
              <w:right w:val="single" w:sz="6" w:space="0" w:color="353535"/>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CÓDIGO E TÍTULO DA AÇÃO</w:t>
            </w:r>
          </w:p>
        </w:tc>
        <w:tc>
          <w:tcPr>
            <w:tcW w:w="6210" w:type="dxa"/>
            <w:tcBorders>
              <w:top w:val="nil"/>
              <w:left w:val="nil"/>
              <w:bottom w:val="single" w:sz="6" w:space="0" w:color="333333"/>
              <w:right w:val="single" w:sz="6" w:space="0" w:color="353535"/>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5071 | REVITALIZAÇÃO DE PRAÇAS E ÁREAS DE LAZER</w:t>
            </w:r>
          </w:p>
        </w:tc>
      </w:tr>
      <w:tr w:rsidR="00802B69">
        <w:trPr>
          <w:trHeight w:val="465"/>
        </w:trPr>
        <w:tc>
          <w:tcPr>
            <w:tcW w:w="2655" w:type="dxa"/>
            <w:tcBorders>
              <w:top w:val="nil"/>
              <w:left w:val="single" w:sz="6" w:space="0" w:color="353535"/>
              <w:bottom w:val="single" w:sz="6" w:space="0" w:color="353535"/>
              <w:right w:val="single" w:sz="6" w:space="0" w:color="353535"/>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 xml:space="preserve">UNIDADE ORÇAMENTÁRIA/ÓRGÃO </w:t>
            </w:r>
            <w:r>
              <w:rPr>
                <w:rFonts w:ascii="Times New Roman" w:eastAsia="Times New Roman" w:hAnsi="Times New Roman" w:cs="Times New Roman"/>
                <w:sz w:val="18"/>
                <w:szCs w:val="18"/>
              </w:rPr>
              <w:t xml:space="preserve"> </w:t>
            </w:r>
          </w:p>
        </w:tc>
        <w:tc>
          <w:tcPr>
            <w:tcW w:w="6210" w:type="dxa"/>
            <w:tcBorders>
              <w:top w:val="nil"/>
              <w:left w:val="nil"/>
              <w:bottom w:val="single" w:sz="6" w:space="0" w:color="353535"/>
              <w:right w:val="single" w:sz="6" w:space="0" w:color="353535"/>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5351 - EMPRESA MUN DE MORADIA, URBANIZACAO E SANEAMENTO</w:t>
            </w:r>
          </w:p>
        </w:tc>
      </w:tr>
      <w:tr w:rsidR="00802B69">
        <w:trPr>
          <w:trHeight w:val="465"/>
        </w:trPr>
        <w:tc>
          <w:tcPr>
            <w:tcW w:w="2655" w:type="dxa"/>
            <w:tcBorders>
              <w:top w:val="nil"/>
              <w:left w:val="single" w:sz="6" w:space="0" w:color="353535"/>
              <w:bottom w:val="single" w:sz="6" w:space="0" w:color="353535"/>
              <w:right w:val="single" w:sz="6" w:space="0" w:color="333333"/>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META FINANCEIRA NA PLDO 2025</w:t>
            </w:r>
          </w:p>
        </w:tc>
        <w:tc>
          <w:tcPr>
            <w:tcW w:w="6210" w:type="dxa"/>
            <w:tcBorders>
              <w:top w:val="nil"/>
              <w:left w:val="nil"/>
              <w:bottom w:val="single" w:sz="6" w:space="0" w:color="353535"/>
              <w:right w:val="single" w:sz="6" w:space="0" w:color="333333"/>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R$ 54.905.291,49</w:t>
            </w:r>
          </w:p>
        </w:tc>
      </w:tr>
      <w:tr w:rsidR="00802B69">
        <w:trPr>
          <w:trHeight w:val="690"/>
        </w:trPr>
        <w:tc>
          <w:tcPr>
            <w:tcW w:w="2655" w:type="dxa"/>
            <w:tcBorders>
              <w:top w:val="nil"/>
              <w:left w:val="single" w:sz="6" w:space="0" w:color="353535"/>
              <w:bottom w:val="single" w:sz="6" w:space="0" w:color="353535"/>
              <w:right w:val="single" w:sz="6" w:space="0" w:color="333333"/>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VALOR PROPOSTO PARA COMPENSAÇÃO NA EMENDA</w:t>
            </w:r>
          </w:p>
        </w:tc>
        <w:tc>
          <w:tcPr>
            <w:tcW w:w="6210" w:type="dxa"/>
            <w:tcBorders>
              <w:top w:val="nil"/>
              <w:left w:val="nil"/>
              <w:bottom w:val="single" w:sz="6" w:space="0" w:color="353535"/>
              <w:right w:val="single" w:sz="6" w:space="0" w:color="333333"/>
            </w:tcBorders>
            <w:shd w:val="clear" w:color="auto" w:fill="auto"/>
            <w:tcMar>
              <w:top w:w="0" w:type="dxa"/>
              <w:left w:w="100" w:type="dxa"/>
              <w:bottom w:w="0" w:type="dxa"/>
              <w:right w:w="100" w:type="dxa"/>
            </w:tcMar>
          </w:tcPr>
          <w:p w:rsidR="00802B69" w:rsidRDefault="002D5BA3">
            <w:pPr>
              <w:spacing w:before="24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R$ 2.000.000,00 </w:t>
            </w:r>
          </w:p>
        </w:tc>
      </w:tr>
    </w:tbl>
    <w:p w:rsidR="00802B69" w:rsidRDefault="002D5BA3">
      <w:pPr>
        <w:spacing w:before="240" w:after="120"/>
        <w:jc w:val="both"/>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after="120"/>
        <w:jc w:val="right"/>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after="120"/>
        <w:jc w:val="right"/>
        <w:rPr>
          <w:rFonts w:ascii="Times New Roman" w:eastAsia="Times New Roman" w:hAnsi="Times New Roman" w:cs="Times New Roman"/>
          <w:b/>
        </w:rPr>
      </w:pPr>
      <w:r>
        <w:rPr>
          <w:rFonts w:ascii="Times New Roman" w:eastAsia="Times New Roman" w:hAnsi="Times New Roman" w:cs="Times New Roman"/>
          <w:b/>
        </w:rPr>
        <w:t xml:space="preserve">Sala das Sessões, 03 de junho de 2025. </w:t>
      </w:r>
    </w:p>
    <w:p w:rsidR="00802B69" w:rsidRDefault="002D5BA3">
      <w:pPr>
        <w:spacing w:before="240" w:after="120"/>
        <w:jc w:val="right"/>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after="120"/>
        <w:jc w:val="center"/>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jc w:val="center"/>
        <w:rPr>
          <w:rFonts w:ascii="Times New Roman" w:eastAsia="Times New Roman" w:hAnsi="Times New Roman" w:cs="Times New Roman"/>
          <w:b/>
        </w:rPr>
      </w:pPr>
      <w:r>
        <w:rPr>
          <w:rFonts w:ascii="Times New Roman" w:eastAsia="Times New Roman" w:hAnsi="Times New Roman" w:cs="Times New Roman"/>
          <w:b/>
        </w:rPr>
        <w:t>BENNY BRIOLLY</w:t>
      </w:r>
    </w:p>
    <w:p w:rsidR="00802B69" w:rsidRDefault="002D5BA3">
      <w:pPr>
        <w:spacing w:before="240"/>
        <w:jc w:val="center"/>
        <w:rPr>
          <w:rFonts w:ascii="Times New Roman" w:eastAsia="Times New Roman" w:hAnsi="Times New Roman" w:cs="Times New Roman"/>
          <w:b/>
        </w:rPr>
      </w:pPr>
      <w:r>
        <w:rPr>
          <w:rFonts w:ascii="Times New Roman" w:eastAsia="Times New Roman" w:hAnsi="Times New Roman" w:cs="Times New Roman"/>
          <w:b/>
        </w:rPr>
        <w:t>VEREADORA</w:t>
      </w:r>
    </w:p>
    <w:p w:rsidR="00802B69" w:rsidRDefault="002D5BA3">
      <w:pPr>
        <w:spacing w:before="240"/>
        <w:jc w:val="center"/>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jc w:val="center"/>
        <w:rPr>
          <w:rFonts w:ascii="Times New Roman" w:eastAsia="Times New Roman" w:hAnsi="Times New Roman" w:cs="Times New Roman"/>
          <w:b/>
        </w:rPr>
      </w:pPr>
      <w:r>
        <w:rPr>
          <w:rFonts w:ascii="Times New Roman" w:eastAsia="Times New Roman" w:hAnsi="Times New Roman" w:cs="Times New Roman"/>
          <w:b/>
        </w:rPr>
        <w:t xml:space="preserve"> </w:t>
      </w:r>
    </w:p>
    <w:p w:rsidR="00802B69" w:rsidRDefault="002D5BA3">
      <w:pPr>
        <w:spacing w:before="240"/>
        <w:jc w:val="center"/>
        <w:rPr>
          <w:rFonts w:ascii="Times New Roman" w:eastAsia="Times New Roman" w:hAnsi="Times New Roman" w:cs="Times New Roman"/>
          <w:b/>
        </w:rPr>
      </w:pPr>
      <w:r>
        <w:rPr>
          <w:rFonts w:ascii="Times New Roman" w:eastAsia="Times New Roman" w:hAnsi="Times New Roman" w:cs="Times New Roman"/>
          <w:b/>
        </w:rPr>
        <w:t>JUSTIFICATIVA:</w:t>
      </w:r>
    </w:p>
    <w:p w:rsidR="00802B69" w:rsidRDefault="00802B69">
      <w:pPr>
        <w:spacing w:before="240"/>
        <w:jc w:val="center"/>
        <w:rPr>
          <w:rFonts w:ascii="Times New Roman" w:eastAsia="Times New Roman" w:hAnsi="Times New Roman" w:cs="Times New Roman"/>
          <w:b/>
        </w:rPr>
      </w:pPr>
    </w:p>
    <w:p w:rsidR="00802B69" w:rsidRDefault="002D5BA3">
      <w:pPr>
        <w:spacing w:line="360" w:lineRule="auto"/>
        <w:jc w:val="both"/>
      </w:pPr>
      <w:r>
        <w:t>A Constituição Federal, por meio do artigo 215, determina que o Estado proteja as manifestações culturais populares, indígenas e afro-brasileiras, e as de outros grupos participantes do processo civilizatório nacional. No artigo 216, a Constituição Federal</w:t>
      </w:r>
      <w:r>
        <w:t xml:space="preserve"> determina que deve ser promovido e protegido pelo Poder Público o patrimônio cultural brasileiro, considerando tanto os bens de natureza material quanto imaterial – o jeito de se expressar, ser </w:t>
      </w:r>
      <w:r>
        <w:lastRenderedPageBreak/>
        <w:t>e viver – dos diferentes grupos formadores da sociedade brasi</w:t>
      </w:r>
      <w:r>
        <w:t xml:space="preserve">leira. Entre esses diferentes grupos formadores da sociedade brasileira estão os povos indígenas, as comunidades quilombolas, os extrativistas, os pescadores artesanais, os geraizeiros, os veredeiros, os vazanteiros, os apanhadores de flores sempre-vivas, </w:t>
      </w:r>
      <w:r>
        <w:t>os faiscadores.</w:t>
      </w:r>
    </w:p>
    <w:p w:rsidR="00802B69" w:rsidRDefault="002D5BA3">
      <w:pPr>
        <w:spacing w:line="360" w:lineRule="auto"/>
        <w:jc w:val="both"/>
      </w:pPr>
      <w:r>
        <w:t>Art. 215 – O Estado garantirá a todos o pleno exercício dos direitos culturais e acesso às fontes da cultura nacional, e apoiará e incentivará a valorização e a difusão das manifestações culturais. § 1º O Estado protegerá as manifestações d</w:t>
      </w:r>
      <w:r>
        <w:t>as culturas populares, indígenas e afro- -brasileiras, e das de outros grupos participantes do processo civilizatório nacional [...] Art. 216 – Constituem patrimônio cultural brasileiro os bens de natureza material e imaterial, tomados individualmente ou e</w:t>
      </w:r>
      <w:r>
        <w:t>m conjunto, portadores de referência à identidade, à ação, à memória dos diferentes grupos formadores da sociedade brasileira, nos quais se incluem: I - as formas de expressão; II - os modos de criar, fazer e viver; III - as criações científicas, artística</w:t>
      </w:r>
      <w:r>
        <w:t>s e tecnológicas; IV - as obras, objetos, documentos, edificações e demais espaços destinados às manifestações artístico-culturais; V - os conjuntos urbanos e sítios de valor histórico, paisagístico, artístico, arqueológico, paleontológico, ecológico e cie</w:t>
      </w:r>
      <w:r>
        <w:t xml:space="preserve">ntífico. § 1º O Poder Público, com a colaboração da comunidade, promoverá e protegerá o patrimônio cultural brasileiro, por meio de inventários, registros, vigilância, tombamento e desapropriação, e de outras formas de acautelamento e preservação. [...] § </w:t>
      </w:r>
      <w:r>
        <w:t>4º Os danos e ameaças ao patrimônio cultural serão punidos, na forma da lei. § 5º Ficam tombados todos os documentos e os sítios detentores de reminiscências históricas dos antigos quilombos.</w:t>
      </w:r>
    </w:p>
    <w:p w:rsidR="00802B69" w:rsidRDefault="002D5BA3">
      <w:pPr>
        <w:spacing w:line="360" w:lineRule="auto"/>
        <w:jc w:val="both"/>
      </w:pPr>
      <w:r>
        <w:t>Em Niterói, a regularização dos terreiros das religiões de matri</w:t>
      </w:r>
      <w:r>
        <w:t>z africana encontram muitas dificuldades pela burocracia dos órgãos de competência, como a Defensoria Pública.</w:t>
      </w:r>
    </w:p>
    <w:p w:rsidR="00802B69" w:rsidRDefault="002D5BA3">
      <w:pPr>
        <w:spacing w:line="360" w:lineRule="auto"/>
        <w:jc w:val="both"/>
      </w:pPr>
      <w:r>
        <w:t>Com essa dificuldade, direitos constitucionais são violados constantemente, a exemplo a isenção de impostos aos templos: LEI Nº 3.193, DE 4 DE JU</w:t>
      </w:r>
      <w:r>
        <w:t>LHO DE 1957. LEI n.º 3.266/99, alterada pela Lei n.º 3.627/2001 e 3.863/2002 - Proíbe a cobrança de ICMS nas contas de serviços públicos estaduais - água, luz, telefone e gás - de igrejas e templos de qualquer culto, desde que o imóvel esteja comprovadamen</w:t>
      </w:r>
      <w:r>
        <w:t>te na posse das igrejas ou templos.</w:t>
      </w:r>
    </w:p>
    <w:p w:rsidR="00802B69" w:rsidRDefault="002D5BA3">
      <w:pPr>
        <w:spacing w:line="360" w:lineRule="auto"/>
        <w:jc w:val="both"/>
      </w:pPr>
      <w:r>
        <w:t>Niterói, pelo último levantamento, possui mais de 400 terreiros sem regularização fundiária pelo município.</w:t>
      </w:r>
    </w:p>
    <w:p w:rsidR="00802B69" w:rsidRDefault="002D5BA3">
      <w:pPr>
        <w:spacing w:line="360" w:lineRule="auto"/>
        <w:jc w:val="both"/>
      </w:pPr>
      <w:r>
        <w:t>Portanto, a criação da ação, com destinação orçamentária para este fim específico se faz extremamente urgente.</w:t>
      </w:r>
    </w:p>
    <w:sectPr w:rsidR="00802B6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802B69"/>
    <w:rsid w:val="002D5BA3"/>
    <w:rsid w:val="00802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2D5BA3"/>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D5B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2D5BA3"/>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D5B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3795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Benny</dc:creator>
  <cp:lastModifiedBy>Ver Benny</cp:lastModifiedBy>
  <cp:revision>2</cp:revision>
  <dcterms:created xsi:type="dcterms:W3CDTF">2024-06-03T19:16:00Z</dcterms:created>
  <dcterms:modified xsi:type="dcterms:W3CDTF">2024-06-03T19:16:00Z</dcterms:modified>
</cp:coreProperties>
</file>