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B3D3B92" w14:textId="4306BBDE" w:rsidR="00FF295E" w:rsidRDefault="00AF01C1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bookmarkStart w:id="0" w:name="_GoBack"/>
      <w:bookmarkEnd w:id="0"/>
      <w:r>
        <w:rPr>
          <w:rFonts w:ascii="Tahoma" w:eastAsia="Tahoma" w:hAnsi="Tahoma" w:cs="Tahoma"/>
          <w:b/>
          <w:sz w:val="22"/>
          <w:szCs w:val="22"/>
        </w:rPr>
        <w:t>Sube</w:t>
      </w:r>
      <w:r w:rsidR="007D7F2B">
        <w:rPr>
          <w:rFonts w:ascii="Tahoma" w:eastAsia="Tahoma" w:hAnsi="Tahoma" w:cs="Tahoma"/>
          <w:b/>
          <w:sz w:val="22"/>
          <w:szCs w:val="22"/>
        </w:rPr>
        <w:t>menda Nº      /202</w:t>
      </w:r>
      <w:r w:rsidR="008F742E">
        <w:rPr>
          <w:rFonts w:ascii="Tahoma" w:eastAsia="Tahoma" w:hAnsi="Tahoma" w:cs="Tahoma"/>
          <w:b/>
          <w:sz w:val="22"/>
          <w:szCs w:val="22"/>
        </w:rPr>
        <w:t>4</w:t>
      </w:r>
    </w:p>
    <w:p w14:paraId="57233E8F" w14:textId="77777777" w:rsidR="00FF295E" w:rsidRDefault="00FF295E">
      <w:pPr>
        <w:rPr>
          <w:rFonts w:ascii="Tahoma" w:eastAsia="Tahoma" w:hAnsi="Tahoma" w:cs="Tahoma"/>
          <w:b/>
          <w:sz w:val="22"/>
          <w:szCs w:val="22"/>
        </w:rPr>
      </w:pPr>
    </w:p>
    <w:p w14:paraId="7E23CAB6" w14:textId="42B63D69" w:rsidR="00FF295E" w:rsidRDefault="007D7F2B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ao Projeto de Lei Nº. </w:t>
      </w:r>
      <w:r w:rsidR="00AA788D">
        <w:rPr>
          <w:rFonts w:ascii="Tahoma" w:eastAsia="Tahoma" w:hAnsi="Tahoma" w:cs="Tahoma"/>
          <w:b/>
          <w:sz w:val="22"/>
          <w:szCs w:val="22"/>
        </w:rPr>
        <w:t>00</w:t>
      </w:r>
      <w:r w:rsidR="004461A5">
        <w:rPr>
          <w:rFonts w:ascii="Tahoma" w:eastAsia="Tahoma" w:hAnsi="Tahoma" w:cs="Tahoma"/>
          <w:b/>
          <w:sz w:val="22"/>
          <w:szCs w:val="22"/>
        </w:rPr>
        <w:t>22</w:t>
      </w:r>
      <w:r w:rsidR="005C444C">
        <w:rPr>
          <w:rFonts w:ascii="Tahoma" w:eastAsia="Tahoma" w:hAnsi="Tahoma" w:cs="Tahoma"/>
          <w:b/>
          <w:sz w:val="22"/>
          <w:szCs w:val="22"/>
        </w:rPr>
        <w:t>1</w:t>
      </w:r>
      <w:r>
        <w:rPr>
          <w:rFonts w:ascii="Tahoma" w:eastAsia="Tahoma" w:hAnsi="Tahoma" w:cs="Tahoma"/>
          <w:b/>
          <w:sz w:val="22"/>
          <w:szCs w:val="22"/>
        </w:rPr>
        <w:t>/202</w:t>
      </w:r>
      <w:r w:rsidR="004461A5">
        <w:rPr>
          <w:rFonts w:ascii="Tahoma" w:eastAsia="Tahoma" w:hAnsi="Tahoma" w:cs="Tahoma"/>
          <w:b/>
          <w:sz w:val="22"/>
          <w:szCs w:val="22"/>
        </w:rPr>
        <w:t>3</w:t>
      </w:r>
    </w:p>
    <w:p w14:paraId="3E24B55C" w14:textId="77777777" w:rsidR="00FF295E" w:rsidRDefault="00FF295E">
      <w:pPr>
        <w:ind w:left="6315"/>
        <w:jc w:val="both"/>
        <w:rPr>
          <w:rFonts w:ascii="Tahoma" w:eastAsia="Tahoma" w:hAnsi="Tahoma" w:cs="Tahoma"/>
          <w:sz w:val="22"/>
          <w:szCs w:val="22"/>
        </w:rPr>
      </w:pPr>
    </w:p>
    <w:p w14:paraId="214E4D09" w14:textId="77777777" w:rsidR="00FF295E" w:rsidRDefault="00FF295E">
      <w:pPr>
        <w:ind w:left="6315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14:paraId="53EE181A" w14:textId="77777777" w:rsidR="00FF295E" w:rsidRDefault="00FF295E">
      <w:pPr>
        <w:jc w:val="center"/>
        <w:rPr>
          <w:rFonts w:ascii="Tahoma" w:eastAsia="Tahoma" w:hAnsi="Tahoma" w:cs="Tahoma"/>
          <w:sz w:val="22"/>
          <w:szCs w:val="22"/>
        </w:rPr>
      </w:pPr>
    </w:p>
    <w:p w14:paraId="701F825F" w14:textId="281796B2" w:rsidR="00FF295E" w:rsidRPr="00F946C9" w:rsidRDefault="007D7F2B" w:rsidP="00634419">
      <w:pPr>
        <w:spacing w:line="360" w:lineRule="auto"/>
        <w:ind w:left="5103"/>
        <w:jc w:val="both"/>
        <w:rPr>
          <w:rFonts w:ascii="Arial" w:eastAsia="Tahoma" w:hAnsi="Arial" w:cs="Arial"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Modifica-se </w:t>
      </w:r>
      <w:r w:rsidR="00F946C9" w:rsidRPr="00F946C9">
        <w:rPr>
          <w:rFonts w:ascii="Arial" w:hAnsi="Arial" w:cs="Arial"/>
          <w:b/>
        </w:rPr>
        <w:t xml:space="preserve">o </w:t>
      </w:r>
      <w:r w:rsidR="00B778FE">
        <w:rPr>
          <w:rFonts w:ascii="Arial" w:hAnsi="Arial" w:cs="Arial"/>
          <w:b/>
        </w:rPr>
        <w:t>zoneamento</w:t>
      </w:r>
      <w:r w:rsidR="00F946C9" w:rsidRPr="00F946C9">
        <w:rPr>
          <w:rFonts w:ascii="Arial" w:hAnsi="Arial" w:cs="Arial"/>
          <w:b/>
        </w:rPr>
        <w:t xml:space="preserve"> do</w:t>
      </w:r>
      <w:r w:rsidR="00C321D8">
        <w:rPr>
          <w:rFonts w:ascii="Arial" w:hAnsi="Arial" w:cs="Arial"/>
          <w:b/>
        </w:rPr>
        <w:t>s</w:t>
      </w:r>
      <w:r w:rsidR="00F946C9" w:rsidRPr="00F946C9">
        <w:rPr>
          <w:rFonts w:ascii="Arial" w:hAnsi="Arial" w:cs="Arial"/>
          <w:b/>
        </w:rPr>
        <w:t xml:space="preserve"> Mapa</w:t>
      </w:r>
      <w:r w:rsidR="00D971B4">
        <w:rPr>
          <w:rFonts w:ascii="Arial" w:hAnsi="Arial" w:cs="Arial"/>
          <w:b/>
        </w:rPr>
        <w:t>s</w:t>
      </w:r>
      <w:r w:rsidR="00C321D8">
        <w:rPr>
          <w:rFonts w:ascii="Arial" w:hAnsi="Arial" w:cs="Arial"/>
          <w:b/>
        </w:rPr>
        <w:t xml:space="preserve"> 1 e</w:t>
      </w:r>
      <w:r w:rsidR="00F946C9" w:rsidRPr="00F946C9">
        <w:rPr>
          <w:rFonts w:ascii="Arial" w:hAnsi="Arial" w:cs="Arial"/>
          <w:b/>
        </w:rPr>
        <w:t xml:space="preserve"> 1</w:t>
      </w:r>
      <w:r w:rsidR="00036C06">
        <w:rPr>
          <w:rFonts w:ascii="Arial" w:hAnsi="Arial" w:cs="Arial"/>
          <w:b/>
        </w:rPr>
        <w:t>H</w:t>
      </w:r>
      <w:r w:rsidR="00F946C9" w:rsidRPr="00F946C9">
        <w:rPr>
          <w:rFonts w:ascii="Arial" w:hAnsi="Arial" w:cs="Arial"/>
          <w:b/>
        </w:rPr>
        <w:t>,</w:t>
      </w:r>
      <w:r w:rsidR="001B15C8">
        <w:rPr>
          <w:rFonts w:ascii="Arial" w:hAnsi="Arial" w:cs="Arial"/>
          <w:b/>
        </w:rPr>
        <w:t xml:space="preserve"> </w:t>
      </w:r>
      <w:r w:rsidR="00B778FE">
        <w:rPr>
          <w:rFonts w:ascii="Arial" w:hAnsi="Arial" w:cs="Arial"/>
          <w:b/>
        </w:rPr>
        <w:t>atua</w:t>
      </w:r>
      <w:r w:rsidR="00D971B4">
        <w:rPr>
          <w:rFonts w:ascii="Arial" w:hAnsi="Arial" w:cs="Arial"/>
          <w:b/>
        </w:rPr>
        <w:t>is</w:t>
      </w:r>
      <w:r w:rsidR="00F946C9" w:rsidRPr="00F946C9">
        <w:rPr>
          <w:rFonts w:ascii="Arial" w:hAnsi="Arial" w:cs="Arial"/>
          <w:b/>
        </w:rPr>
        <w:t xml:space="preserve"> </w:t>
      </w:r>
      <w:r w:rsidR="00D971B4">
        <w:rPr>
          <w:rFonts w:ascii="Arial" w:hAnsi="Arial" w:cs="Arial"/>
          <w:b/>
        </w:rPr>
        <w:t>ZC+10</w:t>
      </w:r>
      <w:r w:rsidR="00F946C9" w:rsidRPr="00F946C9">
        <w:rPr>
          <w:rFonts w:ascii="Arial" w:hAnsi="Arial" w:cs="Arial"/>
          <w:b/>
        </w:rPr>
        <w:t xml:space="preserve">, </w:t>
      </w:r>
      <w:r w:rsidR="00B778FE">
        <w:rPr>
          <w:rFonts w:ascii="Arial" w:hAnsi="Arial" w:cs="Arial"/>
          <w:b/>
        </w:rPr>
        <w:t>por</w:t>
      </w:r>
      <w:r w:rsidR="00FB556F">
        <w:rPr>
          <w:rFonts w:ascii="Arial" w:hAnsi="Arial" w:cs="Arial"/>
          <w:b/>
        </w:rPr>
        <w:t xml:space="preserve"> Z</w:t>
      </w:r>
      <w:r w:rsidR="00E53429">
        <w:rPr>
          <w:rFonts w:ascii="Arial" w:hAnsi="Arial" w:cs="Arial"/>
          <w:b/>
        </w:rPr>
        <w:t>C</w:t>
      </w:r>
      <w:r w:rsidR="007F79A4">
        <w:rPr>
          <w:rFonts w:ascii="Arial" w:hAnsi="Arial" w:cs="Arial"/>
          <w:b/>
        </w:rPr>
        <w:t>+</w:t>
      </w:r>
      <w:r w:rsidR="00C321D8">
        <w:rPr>
          <w:rFonts w:ascii="Arial" w:hAnsi="Arial" w:cs="Arial"/>
          <w:b/>
        </w:rPr>
        <w:t>6</w:t>
      </w:r>
      <w:r w:rsidR="00F946C9" w:rsidRPr="00F946C9">
        <w:rPr>
          <w:rFonts w:ascii="Arial" w:hAnsi="Arial" w:cs="Arial"/>
          <w:b/>
        </w:rPr>
        <w:t>,</w:t>
      </w:r>
      <w:r w:rsidR="002A0AF9" w:rsidRPr="002A0AF9">
        <w:t xml:space="preserve"> </w:t>
      </w:r>
      <w:r w:rsidR="001B15C8" w:rsidRPr="001B15C8">
        <w:rPr>
          <w:rFonts w:ascii="Arial" w:hAnsi="Arial" w:cs="Arial"/>
        </w:rPr>
        <w:t>d</w:t>
      </w:r>
      <w:r w:rsidR="00F946C9" w:rsidRPr="00F946C9">
        <w:rPr>
          <w:rFonts w:ascii="Arial" w:hAnsi="Arial" w:cs="Arial"/>
        </w:rPr>
        <w:t>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03D96A0E" w14:textId="77777777" w:rsidR="00FF295E" w:rsidRDefault="00FF295E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14:paraId="7B62FBCB" w14:textId="348F76E8" w:rsidR="00D971B4" w:rsidRDefault="007D7F2B" w:rsidP="00E53429">
      <w:pPr>
        <w:spacing w:line="360" w:lineRule="auto"/>
        <w:jc w:val="both"/>
        <w:rPr>
          <w:rFonts w:ascii="Arial" w:hAnsi="Arial" w:cs="Arial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</w:t>
      </w:r>
      <w:r w:rsidRPr="00634419">
        <w:rPr>
          <w:rFonts w:ascii="Arial" w:eastAsia="Tahoma" w:hAnsi="Arial" w:cs="Arial"/>
          <w:b/>
          <w:sz w:val="22"/>
          <w:szCs w:val="22"/>
        </w:rPr>
        <w:t xml:space="preserve">- </w:t>
      </w:r>
      <w:r w:rsidR="00F946C9" w:rsidRPr="00634419">
        <w:rPr>
          <w:rFonts w:ascii="Arial" w:hAnsi="Arial" w:cs="Arial"/>
          <w:b/>
        </w:rPr>
        <w:t xml:space="preserve">Modifica-se </w:t>
      </w:r>
      <w:r w:rsidR="00C458EF">
        <w:rPr>
          <w:rFonts w:ascii="Arial" w:hAnsi="Arial" w:cs="Arial"/>
          <w:b/>
        </w:rPr>
        <w:t>a zona de uso</w:t>
      </w:r>
      <w:r w:rsidR="00F946C9" w:rsidRPr="00634419">
        <w:rPr>
          <w:rFonts w:ascii="Arial" w:hAnsi="Arial" w:cs="Arial"/>
          <w:b/>
        </w:rPr>
        <w:t xml:space="preserve"> do</w:t>
      </w:r>
      <w:r w:rsidR="00D971B4">
        <w:rPr>
          <w:rFonts w:ascii="Arial" w:hAnsi="Arial" w:cs="Arial"/>
          <w:b/>
        </w:rPr>
        <w:t>s</w:t>
      </w:r>
      <w:r w:rsidR="00F946C9" w:rsidRPr="00634419">
        <w:rPr>
          <w:rFonts w:ascii="Arial" w:hAnsi="Arial" w:cs="Arial"/>
          <w:b/>
        </w:rPr>
        <w:t xml:space="preserve"> Mapa</w:t>
      </w:r>
      <w:r w:rsidR="001B15C8">
        <w:rPr>
          <w:rFonts w:ascii="Arial" w:hAnsi="Arial" w:cs="Arial"/>
          <w:b/>
        </w:rPr>
        <w:t>s</w:t>
      </w:r>
      <w:r w:rsidR="00C321D8">
        <w:rPr>
          <w:rFonts w:ascii="Arial" w:hAnsi="Arial" w:cs="Arial"/>
          <w:b/>
        </w:rPr>
        <w:t xml:space="preserve"> 1 e</w:t>
      </w:r>
      <w:r w:rsidR="00F946C9" w:rsidRPr="00634419">
        <w:rPr>
          <w:rFonts w:ascii="Arial" w:hAnsi="Arial" w:cs="Arial"/>
          <w:b/>
        </w:rPr>
        <w:t xml:space="preserve"> 1</w:t>
      </w:r>
      <w:r w:rsidR="00036C06">
        <w:rPr>
          <w:rFonts w:ascii="Arial" w:hAnsi="Arial" w:cs="Arial"/>
          <w:b/>
        </w:rPr>
        <w:t>H</w:t>
      </w:r>
      <w:r w:rsidR="00F946C9" w:rsidRPr="00634419">
        <w:rPr>
          <w:rFonts w:ascii="Arial" w:hAnsi="Arial" w:cs="Arial"/>
          <w:b/>
        </w:rPr>
        <w:t xml:space="preserve">, </w:t>
      </w:r>
      <w:r w:rsidR="00D971B4">
        <w:rPr>
          <w:rFonts w:ascii="Arial" w:hAnsi="Arial" w:cs="Arial"/>
          <w:b/>
        </w:rPr>
        <w:t>atuais</w:t>
      </w:r>
      <w:r w:rsidR="00D971B4" w:rsidRPr="00F946C9">
        <w:rPr>
          <w:rFonts w:ascii="Arial" w:hAnsi="Arial" w:cs="Arial"/>
          <w:b/>
        </w:rPr>
        <w:t xml:space="preserve"> </w:t>
      </w:r>
      <w:r w:rsidR="00D971B4">
        <w:rPr>
          <w:rFonts w:ascii="Arial" w:hAnsi="Arial" w:cs="Arial"/>
          <w:b/>
        </w:rPr>
        <w:t>ZC+10</w:t>
      </w:r>
      <w:r w:rsidR="00D971B4" w:rsidRPr="00F946C9">
        <w:rPr>
          <w:rFonts w:ascii="Arial" w:hAnsi="Arial" w:cs="Arial"/>
          <w:b/>
        </w:rPr>
        <w:t xml:space="preserve">, </w:t>
      </w:r>
      <w:r w:rsidR="00D971B4">
        <w:rPr>
          <w:rFonts w:ascii="Arial" w:hAnsi="Arial" w:cs="Arial"/>
          <w:b/>
        </w:rPr>
        <w:t>por Z</w:t>
      </w:r>
      <w:r w:rsidR="00E53429">
        <w:rPr>
          <w:rFonts w:ascii="Arial" w:hAnsi="Arial" w:cs="Arial"/>
          <w:b/>
        </w:rPr>
        <w:t>C</w:t>
      </w:r>
      <w:r w:rsidR="00D971B4">
        <w:rPr>
          <w:rFonts w:ascii="Arial" w:hAnsi="Arial" w:cs="Arial"/>
          <w:b/>
        </w:rPr>
        <w:t>+6</w:t>
      </w:r>
      <w:r w:rsidR="002A0AF9">
        <w:rPr>
          <w:rFonts w:ascii="Arial" w:hAnsi="Arial" w:cs="Arial"/>
        </w:rPr>
        <w:t xml:space="preserve">, </w:t>
      </w:r>
      <w:r w:rsidR="00F946C9" w:rsidRPr="00634419">
        <w:rPr>
          <w:rFonts w:ascii="Arial" w:hAnsi="Arial" w:cs="Arial"/>
        </w:rPr>
        <w:t>ao Projeto de Lei Nº 00221/2023, Lei Urbanística de Niterói, seu zoneamento, a aplicação de instrumentos de política urbana e as regras gerais de licenciamento da atividade edilícia e de fiscalização da execução de obras, como segue</w:t>
      </w:r>
      <w:r w:rsidR="00214BFE">
        <w:rPr>
          <w:rFonts w:ascii="Arial" w:hAnsi="Arial" w:cs="Arial"/>
        </w:rPr>
        <w:t xml:space="preserve">: </w:t>
      </w:r>
    </w:p>
    <w:p w14:paraId="5D939CDA" w14:textId="02F54C3D" w:rsidR="00251B70" w:rsidRDefault="00251B70" w:rsidP="00251B70">
      <w:pPr>
        <w:spacing w:line="360" w:lineRule="auto"/>
        <w:jc w:val="center"/>
        <w:rPr>
          <w:rFonts w:ascii="Arial" w:hAnsi="Arial" w:cs="Arial"/>
        </w:rPr>
      </w:pPr>
      <w:r>
        <w:rPr>
          <w:rFonts w:cs="Tahoma"/>
          <w:noProof/>
          <w:lang w:eastAsia="pt-BR"/>
        </w:rPr>
        <w:drawing>
          <wp:inline distT="0" distB="0" distL="0" distR="0" wp14:anchorId="177A6900" wp14:editId="4E3CA850">
            <wp:extent cx="4206875" cy="3139440"/>
            <wp:effectExtent l="0" t="0" r="3175" b="3810"/>
            <wp:docPr id="820584841" name="Imagem 7" descr="Map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584841" name="Imagem 7" descr="Map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87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86C349" w14:textId="77777777" w:rsidR="00EB4D6B" w:rsidRDefault="00EB4D6B" w:rsidP="003D3298">
      <w:pPr>
        <w:ind w:left="567"/>
        <w:jc w:val="right"/>
        <w:rPr>
          <w:rFonts w:ascii="Arial" w:eastAsia="Tahoma" w:hAnsi="Arial" w:cs="Arial"/>
        </w:rPr>
      </w:pPr>
    </w:p>
    <w:p w14:paraId="10FE87D0" w14:textId="77777777" w:rsidR="003D3298" w:rsidRPr="002F5678" w:rsidRDefault="003D3298" w:rsidP="003D3298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lastRenderedPageBreak/>
        <w:t>Sala das Sessões, 2</w:t>
      </w:r>
      <w:r w:rsidR="001B15C8">
        <w:rPr>
          <w:rFonts w:ascii="Arial" w:eastAsia="Tahoma" w:hAnsi="Arial" w:cs="Arial"/>
        </w:rPr>
        <w:t>3</w:t>
      </w:r>
      <w:r w:rsidRPr="002F5678">
        <w:rPr>
          <w:rFonts w:ascii="Arial" w:eastAsia="Tahoma" w:hAnsi="Arial" w:cs="Arial"/>
        </w:rPr>
        <w:t xml:space="preserve"> de fevereiro de 2024.</w:t>
      </w:r>
    </w:p>
    <w:p w14:paraId="0FACE432" w14:textId="77777777" w:rsidR="003D3298" w:rsidRDefault="003D3298" w:rsidP="00426AEB">
      <w:pPr>
        <w:spacing w:line="360" w:lineRule="auto"/>
        <w:jc w:val="both"/>
        <w:rPr>
          <w:rFonts w:ascii="Arial" w:hAnsi="Arial" w:cs="Arial"/>
        </w:rPr>
      </w:pPr>
    </w:p>
    <w:p w14:paraId="3067982D" w14:textId="77777777" w:rsidR="00251B70" w:rsidRDefault="00251B70" w:rsidP="00426AEB">
      <w:pPr>
        <w:spacing w:line="360" w:lineRule="auto"/>
        <w:jc w:val="both"/>
        <w:rPr>
          <w:rFonts w:ascii="Arial" w:hAnsi="Arial" w:cs="Arial"/>
        </w:rPr>
      </w:pPr>
    </w:p>
    <w:p w14:paraId="03636D42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Roberto Fernandes Jales – Beto da Pipa</w:t>
      </w:r>
    </w:p>
    <w:p w14:paraId="18632E0F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Presidente</w:t>
      </w:r>
    </w:p>
    <w:p w14:paraId="5839FF73" w14:textId="77777777" w:rsidR="003D3298" w:rsidRDefault="003D3298" w:rsidP="003D3298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3F19CA0F" w14:textId="77777777" w:rsidR="00251B70" w:rsidRPr="00F948F4" w:rsidRDefault="00251B70" w:rsidP="003D3298">
      <w:p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1"/>
        <w:gridCol w:w="4322"/>
      </w:tblGrid>
      <w:tr w:rsidR="003D3298" w:rsidRPr="00F948F4" w14:paraId="4EC52638" w14:textId="77777777" w:rsidTr="00ED5C19">
        <w:tc>
          <w:tcPr>
            <w:tcW w:w="4321" w:type="dxa"/>
            <w:shd w:val="clear" w:color="auto" w:fill="auto"/>
          </w:tcPr>
          <w:p w14:paraId="4409C761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Jorge Andrigo Dias de Carvalho</w:t>
            </w:r>
          </w:p>
          <w:p w14:paraId="46329D98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D4A36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Vice-Presidente</w:t>
            </w:r>
          </w:p>
        </w:tc>
        <w:tc>
          <w:tcPr>
            <w:tcW w:w="4322" w:type="dxa"/>
            <w:shd w:val="clear" w:color="auto" w:fill="auto"/>
          </w:tcPr>
          <w:p w14:paraId="5E8CFEA1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Tulio Rabelo de Albuquerque Mota – Professor Tulio</w:t>
            </w:r>
          </w:p>
          <w:p w14:paraId="62115561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  <w:p w14:paraId="4E0563D9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D44E1B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3298" w:rsidRPr="00F948F4" w14:paraId="41A3F362" w14:textId="77777777" w:rsidTr="00ED5C19">
        <w:tc>
          <w:tcPr>
            <w:tcW w:w="4321" w:type="dxa"/>
            <w:shd w:val="clear" w:color="auto" w:fill="auto"/>
          </w:tcPr>
          <w:p w14:paraId="7C5805F6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Leandro Portugal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Franzen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de Lima</w:t>
            </w:r>
          </w:p>
          <w:p w14:paraId="57E9A37B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317BED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  <w:tc>
          <w:tcPr>
            <w:tcW w:w="4322" w:type="dxa"/>
            <w:shd w:val="clear" w:color="auto" w:fill="auto"/>
          </w:tcPr>
          <w:p w14:paraId="3A6C0F8F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Anderson José Rodrigues –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Pipico</w:t>
            </w:r>
            <w:proofErr w:type="spellEnd"/>
          </w:p>
          <w:p w14:paraId="5E9DC055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E85F7C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</w:tr>
    </w:tbl>
    <w:p w14:paraId="13875BAF" w14:textId="77777777" w:rsidR="00251B70" w:rsidRPr="008F15F2" w:rsidRDefault="00251B70" w:rsidP="00251B7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</w:rPr>
      </w:pPr>
      <w:r w:rsidRPr="008F15F2">
        <w:rPr>
          <w:rFonts w:ascii="Arial" w:hAnsi="Arial" w:cs="Arial"/>
          <w:b/>
          <w:bCs/>
        </w:rPr>
        <w:t>Justificativa:</w:t>
      </w:r>
    </w:p>
    <w:p w14:paraId="4AD504F7" w14:textId="77777777" w:rsidR="00251B70" w:rsidRPr="005F3E0C" w:rsidRDefault="00251B70" w:rsidP="00251B70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Arial" w:hAnsi="Arial" w:cs="Arial"/>
        </w:rPr>
      </w:pPr>
      <w:r w:rsidRPr="005F3E0C">
        <w:rPr>
          <w:rFonts w:ascii="Arial" w:hAnsi="Arial" w:cs="Arial"/>
        </w:rPr>
        <w:t xml:space="preserve">A presente subemenda, elaborada por esta Comissão, </w:t>
      </w:r>
      <w:r w:rsidRPr="008F15F2">
        <w:rPr>
          <w:rFonts w:ascii="Arial" w:hAnsi="Arial" w:cs="Arial"/>
        </w:rPr>
        <w:t>em conjunto com os Parlamentares desta Casa Legislativa, tem como objetivo ajustar o texto da Emenda em questão ao Projeto de Lei nº 221/2023.</w:t>
      </w:r>
    </w:p>
    <w:p w14:paraId="692C6101" w14:textId="77777777" w:rsidR="00251B70" w:rsidRPr="008F15F2" w:rsidRDefault="00251B70" w:rsidP="00251B70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Arial" w:hAnsi="Arial" w:cs="Arial"/>
        </w:rPr>
      </w:pPr>
      <w:r w:rsidRPr="008F15F2">
        <w:rPr>
          <w:rFonts w:ascii="Arial" w:hAnsi="Arial" w:cs="Arial"/>
        </w:rPr>
        <w:t xml:space="preserve">Vale ressaltar que o instituto em pauta </w:t>
      </w:r>
      <w:r w:rsidRPr="005F3E0C">
        <w:rPr>
          <w:rFonts w:ascii="Arial" w:hAnsi="Arial" w:cs="Arial"/>
        </w:rPr>
        <w:t>encontra amparo legal no art. 125, § 6º</w:t>
      </w:r>
      <w:r w:rsidRPr="008F15F2">
        <w:rPr>
          <w:rFonts w:ascii="Arial" w:hAnsi="Arial" w:cs="Arial"/>
        </w:rPr>
        <w:t>, bem como no art. 189</w:t>
      </w:r>
      <w:r w:rsidRPr="005F3E0C">
        <w:rPr>
          <w:rFonts w:ascii="Arial" w:hAnsi="Arial" w:cs="Arial"/>
        </w:rPr>
        <w:t xml:space="preserve"> do Regimento Interno desta Casa Legislativa, que dispõe sobre a possibilidade de apresentação de subemendas a emendas já protocoladas.</w:t>
      </w:r>
      <w:r w:rsidRPr="008F15F2">
        <w:rPr>
          <w:rFonts w:ascii="Arial" w:hAnsi="Arial" w:cs="Arial"/>
        </w:rPr>
        <w:t xml:space="preserve"> Velamos:</w:t>
      </w:r>
    </w:p>
    <w:p w14:paraId="66924511" w14:textId="77777777" w:rsidR="00251B70" w:rsidRPr="008F15F2" w:rsidRDefault="00251B70" w:rsidP="00251B70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Art. 125 - Emenda é a proposição apresentada como acessória de outra, ao artigo, parágrafo, inciso ou alínea.</w:t>
      </w:r>
    </w:p>
    <w:p w14:paraId="147097FC" w14:textId="77777777" w:rsidR="00251B70" w:rsidRPr="008F15F2" w:rsidRDefault="00251B70" w:rsidP="00251B70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(...)</w:t>
      </w:r>
    </w:p>
    <w:p w14:paraId="3E836D39" w14:textId="77777777" w:rsidR="00251B70" w:rsidRPr="008F15F2" w:rsidRDefault="00251B70" w:rsidP="00251B70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§6º - A emenda apresentada a outra denomina-se subemenda</w:t>
      </w:r>
    </w:p>
    <w:p w14:paraId="5301F2E8" w14:textId="77777777" w:rsidR="00251B70" w:rsidRDefault="00251B70" w:rsidP="00251B70">
      <w:pPr>
        <w:ind w:left="3402"/>
        <w:jc w:val="both"/>
        <w:rPr>
          <w:rFonts w:ascii="Arial" w:hAnsi="Arial" w:cs="Arial"/>
          <w:sz w:val="22"/>
          <w:szCs w:val="22"/>
        </w:rPr>
      </w:pPr>
    </w:p>
    <w:p w14:paraId="0CD087E6" w14:textId="77777777" w:rsidR="00251B70" w:rsidRDefault="00251B70" w:rsidP="00251B70">
      <w:pPr>
        <w:ind w:left="3402"/>
        <w:jc w:val="both"/>
        <w:rPr>
          <w:rFonts w:ascii="Arial" w:hAnsi="Arial" w:cs="Arial"/>
        </w:rPr>
      </w:pPr>
      <w:r w:rsidRPr="008F15F2">
        <w:rPr>
          <w:rFonts w:ascii="Arial" w:hAnsi="Arial" w:cs="Arial"/>
          <w:sz w:val="22"/>
          <w:szCs w:val="22"/>
        </w:rPr>
        <w:t xml:space="preserve">Art. 189 - Na discussão única e na primeira discussão serão recebidos emendas, subemendas e projetos substitutivos apresentados por ocasião dos debates; em segunda discussão, somente se admitirão emendas e subemendas. </w:t>
      </w:r>
    </w:p>
    <w:p w14:paraId="36FA3F53" w14:textId="77777777" w:rsidR="00251B70" w:rsidRPr="008F15F2" w:rsidRDefault="00251B70" w:rsidP="00251B70">
      <w:pPr>
        <w:ind w:left="3402"/>
        <w:jc w:val="both"/>
        <w:rPr>
          <w:rFonts w:ascii="Arial" w:hAnsi="Arial" w:cs="Arial"/>
        </w:rPr>
      </w:pPr>
    </w:p>
    <w:p w14:paraId="395C128B" w14:textId="77777777" w:rsidR="00251B70" w:rsidRPr="008F15F2" w:rsidRDefault="00251B70" w:rsidP="00251B70">
      <w:pPr>
        <w:spacing w:line="360" w:lineRule="auto"/>
        <w:ind w:firstLine="720"/>
        <w:jc w:val="both"/>
        <w:rPr>
          <w:rFonts w:ascii="Arial" w:hAnsi="Arial" w:cs="Arial"/>
        </w:rPr>
      </w:pPr>
      <w:r w:rsidRPr="005F3E0C">
        <w:rPr>
          <w:rFonts w:ascii="Arial" w:hAnsi="Arial" w:cs="Arial"/>
        </w:rPr>
        <w:t xml:space="preserve">Diante do exposto, </w:t>
      </w:r>
      <w:r w:rsidRPr="008F15F2">
        <w:rPr>
          <w:rFonts w:ascii="Arial" w:hAnsi="Arial" w:cs="Arial"/>
        </w:rPr>
        <w:t>em observância ao acordo judicial entabulado nos autos do processo nº 0824179-85.2022.8.19.0002, em trâmite perante a 9ª Vara Cível da Comarca de Niterói, contamos com a aprovação desta Casa.</w:t>
      </w:r>
    </w:p>
    <w:p w14:paraId="1C402B9A" w14:textId="77777777" w:rsidR="00251B70" w:rsidRDefault="00251B70" w:rsidP="00251B70">
      <w:pPr>
        <w:spacing w:line="360" w:lineRule="auto"/>
        <w:jc w:val="both"/>
        <w:rPr>
          <w:rFonts w:ascii="Tahoma" w:eastAsia="Tahoma" w:hAnsi="Tahoma" w:cs="Tahoma"/>
          <w:color w:val="000000"/>
        </w:rPr>
      </w:pPr>
    </w:p>
    <w:p w14:paraId="77699116" w14:textId="77777777" w:rsidR="00FF295E" w:rsidRDefault="00FF295E">
      <w:pPr>
        <w:spacing w:line="276" w:lineRule="auto"/>
        <w:jc w:val="both"/>
        <w:rPr>
          <w:rFonts w:ascii="Tahoma" w:eastAsia="Tahoma" w:hAnsi="Tahoma" w:cs="Tahoma"/>
          <w:color w:val="000000"/>
        </w:rPr>
      </w:pPr>
    </w:p>
    <w:sectPr w:rsidR="00FF295E" w:rsidSect="00CA11E3">
      <w:headerReference w:type="default" r:id="rId8"/>
      <w:footerReference w:type="default" r:id="rId9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47415A" w14:textId="77777777" w:rsidR="00CA11E3" w:rsidRDefault="00CA11E3" w:rsidP="00FF295E">
      <w:r>
        <w:separator/>
      </w:r>
    </w:p>
  </w:endnote>
  <w:endnote w:type="continuationSeparator" w:id="0">
    <w:p w14:paraId="5AD8F249" w14:textId="77777777" w:rsidR="00CA11E3" w:rsidRDefault="00CA11E3" w:rsidP="00FF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131BE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14:paraId="7B2E1418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e-mail: gabinetebetodapipa@gmail.com</w:t>
    </w:r>
  </w:p>
  <w:p w14:paraId="31C5E743" w14:textId="77777777" w:rsidR="00661ECC" w:rsidRDefault="00661ECC" w:rsidP="00661ECC">
    <w:pPr>
      <w:pStyle w:val="Rodap"/>
    </w:pPr>
  </w:p>
  <w:p w14:paraId="1045C9A3" w14:textId="77777777" w:rsidR="00661ECC" w:rsidRDefault="00661EC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29A452" w14:textId="77777777" w:rsidR="00CA11E3" w:rsidRDefault="00CA11E3" w:rsidP="00FF295E">
      <w:r>
        <w:separator/>
      </w:r>
    </w:p>
  </w:footnote>
  <w:footnote w:type="continuationSeparator" w:id="0">
    <w:p w14:paraId="4D349D0D" w14:textId="77777777" w:rsidR="00CA11E3" w:rsidRDefault="00CA11E3" w:rsidP="00FF2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63EF0" w14:textId="77777777" w:rsidR="00FF295E" w:rsidRDefault="00FF29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F295E" w14:paraId="36B28B52" w14:textId="77777777">
      <w:trPr>
        <w:cantSplit/>
        <w:trHeight w:val="1971"/>
        <w:tblHeader/>
      </w:trPr>
      <w:tc>
        <w:tcPr>
          <w:tcW w:w="1728" w:type="dxa"/>
        </w:tcPr>
        <w:p w14:paraId="23592CFE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2841087F" wp14:editId="61EFB3F2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2F1FE1C5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524FFB4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2772A4FD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7430367A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A6EBD7" w14:textId="77777777" w:rsidR="00FF295E" w:rsidRDefault="00D859A7" w:rsidP="00616F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 w:rsidRPr="00560A16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>Comissão Permanente de Urbanismo, Obras, Serviços Públicos, Transportes e Trânsito</w:t>
          </w:r>
        </w:p>
      </w:tc>
    </w:tr>
  </w:tbl>
  <w:p w14:paraId="7A979823" w14:textId="77777777" w:rsidR="00FF295E" w:rsidRDefault="00FF29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95E"/>
    <w:rsid w:val="00036C06"/>
    <w:rsid w:val="0004351B"/>
    <w:rsid w:val="000509EF"/>
    <w:rsid w:val="00083A5D"/>
    <w:rsid w:val="000B0E06"/>
    <w:rsid w:val="001B15C8"/>
    <w:rsid w:val="00214BFE"/>
    <w:rsid w:val="00217041"/>
    <w:rsid w:val="00222A15"/>
    <w:rsid w:val="00251B70"/>
    <w:rsid w:val="00270CD0"/>
    <w:rsid w:val="00284D6A"/>
    <w:rsid w:val="002A0AF9"/>
    <w:rsid w:val="00312ABA"/>
    <w:rsid w:val="00347B71"/>
    <w:rsid w:val="003D3298"/>
    <w:rsid w:val="00426AEB"/>
    <w:rsid w:val="004461A5"/>
    <w:rsid w:val="00453488"/>
    <w:rsid w:val="004662CE"/>
    <w:rsid w:val="00484482"/>
    <w:rsid w:val="00484514"/>
    <w:rsid w:val="00494D9B"/>
    <w:rsid w:val="004C2912"/>
    <w:rsid w:val="004F6546"/>
    <w:rsid w:val="00505805"/>
    <w:rsid w:val="005159D5"/>
    <w:rsid w:val="00575983"/>
    <w:rsid w:val="005C444C"/>
    <w:rsid w:val="005C62A6"/>
    <w:rsid w:val="005D5E01"/>
    <w:rsid w:val="005F682E"/>
    <w:rsid w:val="00616FB0"/>
    <w:rsid w:val="00634419"/>
    <w:rsid w:val="00661ECC"/>
    <w:rsid w:val="006D7494"/>
    <w:rsid w:val="007D7F2B"/>
    <w:rsid w:val="007F79A4"/>
    <w:rsid w:val="008130EB"/>
    <w:rsid w:val="00853F49"/>
    <w:rsid w:val="008816D6"/>
    <w:rsid w:val="008F742E"/>
    <w:rsid w:val="00953910"/>
    <w:rsid w:val="009D3269"/>
    <w:rsid w:val="00A21363"/>
    <w:rsid w:val="00AA532E"/>
    <w:rsid w:val="00AA788D"/>
    <w:rsid w:val="00AF01C1"/>
    <w:rsid w:val="00B01C5D"/>
    <w:rsid w:val="00B778FE"/>
    <w:rsid w:val="00BE3292"/>
    <w:rsid w:val="00C321D8"/>
    <w:rsid w:val="00C34D00"/>
    <w:rsid w:val="00C458EF"/>
    <w:rsid w:val="00CA11E3"/>
    <w:rsid w:val="00CD7CA8"/>
    <w:rsid w:val="00D220AC"/>
    <w:rsid w:val="00D277EF"/>
    <w:rsid w:val="00D41EFB"/>
    <w:rsid w:val="00D859A7"/>
    <w:rsid w:val="00D971B4"/>
    <w:rsid w:val="00E3061C"/>
    <w:rsid w:val="00E53429"/>
    <w:rsid w:val="00EB4D6B"/>
    <w:rsid w:val="00EF79B7"/>
    <w:rsid w:val="00F80501"/>
    <w:rsid w:val="00F946C9"/>
    <w:rsid w:val="00FB556F"/>
    <w:rsid w:val="00FF2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0184F"/>
  <w15:docId w15:val="{96FA676C-68B9-45C0-8441-F2CFBDF3C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F4Gf9VRwiB2CaR6IDbQLqsYaFw==">AMUW2mXDO2gX6Y5dZNz6bx+lQEhZeJ4isfP+BEI1cwI/SwPxjHKW0GF0y85AXXRFO1AD+mPhOp0+/NKPxC08rCWfx8ur71wklas98LO7BNXvIm3cUgQTR7k=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DL</cp:lastModifiedBy>
  <cp:revision>2</cp:revision>
  <cp:lastPrinted>2024-03-21T20:09:00Z</cp:lastPrinted>
  <dcterms:created xsi:type="dcterms:W3CDTF">2024-04-02T15:29:00Z</dcterms:created>
  <dcterms:modified xsi:type="dcterms:W3CDTF">2024-04-02T15:29:00Z</dcterms:modified>
</cp:coreProperties>
</file>