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EF76D3" w:rsidRDefault="00057622">
      <w:pPr>
        <w:keepNext/>
        <w:pBdr>
          <w:top w:val="nil"/>
          <w:left w:val="nil"/>
          <w:bottom w:val="nil"/>
          <w:right w:val="nil"/>
          <w:between w:val="nil"/>
        </w:pBdr>
        <w:tabs>
          <w:tab w:val="left" w:pos="3397"/>
          <w:tab w:val="left" w:pos="13460"/>
          <w:tab w:val="left" w:pos="3397"/>
          <w:tab w:val="left" w:pos="13460"/>
          <w:tab w:val="left" w:pos="1133"/>
          <w:tab w:val="center" w:pos="4818"/>
          <w:tab w:val="left" w:pos="11196"/>
        </w:tabs>
        <w:jc w:val="center"/>
        <w:rPr>
          <w:rFonts w:ascii="Tahoma" w:eastAsia="Tahoma" w:hAnsi="Tahoma" w:cs="Tahoma"/>
          <w:b/>
          <w:color w:val="000000"/>
        </w:rPr>
      </w:pPr>
      <w:r>
        <w:rPr>
          <w:rFonts w:ascii="Tahoma" w:eastAsia="Tahoma" w:hAnsi="Tahoma" w:cs="Tahoma"/>
          <w:b/>
          <w:color w:val="000000"/>
        </w:rPr>
        <w:t>Emenda Nº      /2023</w:t>
      </w:r>
    </w:p>
    <w:p w:rsidR="00EF76D3" w:rsidRDefault="00EF76D3">
      <w:pPr>
        <w:rPr>
          <w:rFonts w:ascii="Tahoma" w:eastAsia="Tahoma" w:hAnsi="Tahoma" w:cs="Tahoma"/>
          <w:b/>
        </w:rPr>
      </w:pPr>
    </w:p>
    <w:p w:rsidR="00EF76D3" w:rsidRDefault="00393178">
      <w:pPr>
        <w:keepNext/>
        <w:pBdr>
          <w:top w:val="nil"/>
          <w:left w:val="nil"/>
          <w:bottom w:val="nil"/>
          <w:right w:val="nil"/>
          <w:between w:val="nil"/>
        </w:pBdr>
        <w:tabs>
          <w:tab w:val="left" w:pos="3397"/>
          <w:tab w:val="left" w:pos="13460"/>
          <w:tab w:val="left" w:pos="3397"/>
          <w:tab w:val="left" w:pos="13460"/>
        </w:tabs>
        <w:jc w:val="center"/>
        <w:rPr>
          <w:rFonts w:ascii="Tahoma" w:eastAsia="Tahoma" w:hAnsi="Tahoma" w:cs="Tahoma"/>
          <w:b/>
          <w:color w:val="000000"/>
        </w:rPr>
      </w:pPr>
      <w:r>
        <w:rPr>
          <w:rFonts w:ascii="Tahoma" w:eastAsia="Tahoma" w:hAnsi="Tahoma" w:cs="Tahoma"/>
          <w:b/>
          <w:color w:val="000000"/>
        </w:rPr>
        <w:t xml:space="preserve">Aditiva ao Projeto de Lei Nº. </w:t>
      </w:r>
      <w:r w:rsidR="003D5998">
        <w:rPr>
          <w:rFonts w:ascii="Tahoma" w:eastAsia="Tahoma" w:hAnsi="Tahoma" w:cs="Tahoma"/>
          <w:b/>
          <w:color w:val="000000"/>
        </w:rPr>
        <w:t>221</w:t>
      </w:r>
      <w:r>
        <w:rPr>
          <w:rFonts w:ascii="Tahoma" w:eastAsia="Tahoma" w:hAnsi="Tahoma" w:cs="Tahoma"/>
          <w:b/>
          <w:color w:val="000000"/>
        </w:rPr>
        <w:t>/202</w:t>
      </w:r>
      <w:r w:rsidR="003D5998">
        <w:rPr>
          <w:rFonts w:ascii="Tahoma" w:eastAsia="Tahoma" w:hAnsi="Tahoma" w:cs="Tahoma"/>
          <w:b/>
          <w:color w:val="000000"/>
        </w:rPr>
        <w:t>3</w:t>
      </w:r>
    </w:p>
    <w:p w:rsidR="00EF76D3" w:rsidRDefault="00EF76D3">
      <w:pPr>
        <w:ind w:left="6315"/>
        <w:jc w:val="both"/>
        <w:rPr>
          <w:rFonts w:ascii="Tahoma" w:eastAsia="Tahoma" w:hAnsi="Tahoma" w:cs="Tahoma"/>
        </w:rPr>
      </w:pPr>
    </w:p>
    <w:p w:rsidR="0072186D" w:rsidRDefault="0072186D">
      <w:pPr>
        <w:ind w:left="6315"/>
        <w:jc w:val="both"/>
        <w:rPr>
          <w:rFonts w:ascii="Tahoma" w:eastAsia="Tahoma" w:hAnsi="Tahoma" w:cs="Tahoma"/>
        </w:rPr>
      </w:pPr>
    </w:p>
    <w:p w:rsidR="0072186D" w:rsidRDefault="0072186D">
      <w:pPr>
        <w:ind w:left="6315"/>
        <w:jc w:val="both"/>
        <w:rPr>
          <w:rFonts w:ascii="Tahoma" w:eastAsia="Tahoma" w:hAnsi="Tahoma" w:cs="Tahoma"/>
        </w:rPr>
      </w:pPr>
    </w:p>
    <w:p w:rsidR="0072186D" w:rsidRDefault="0072186D">
      <w:pPr>
        <w:ind w:left="6315"/>
        <w:jc w:val="both"/>
        <w:rPr>
          <w:rFonts w:ascii="Tahoma" w:eastAsia="Tahoma" w:hAnsi="Tahoma" w:cs="Tahoma"/>
        </w:rPr>
      </w:pPr>
    </w:p>
    <w:p w:rsidR="0072186D" w:rsidRDefault="0072186D">
      <w:pPr>
        <w:ind w:left="6315"/>
        <w:jc w:val="both"/>
        <w:rPr>
          <w:rFonts w:ascii="Tahoma" w:eastAsia="Tahoma" w:hAnsi="Tahoma" w:cs="Tahoma"/>
        </w:rPr>
      </w:pPr>
    </w:p>
    <w:p w:rsidR="00EF76D3" w:rsidRDefault="00EF76D3">
      <w:pPr>
        <w:ind w:left="6315"/>
        <w:jc w:val="both"/>
        <w:rPr>
          <w:rFonts w:ascii="Tahoma" w:eastAsia="Tahoma" w:hAnsi="Tahoma" w:cs="Tahoma"/>
          <w:color w:val="000000"/>
        </w:rPr>
      </w:pPr>
    </w:p>
    <w:p w:rsidR="00EF76D3" w:rsidRDefault="00393178">
      <w:pPr>
        <w:spacing w:line="360" w:lineRule="auto"/>
        <w:ind w:left="5103"/>
        <w:jc w:val="both"/>
        <w:rPr>
          <w:rFonts w:ascii="Tahoma" w:eastAsia="Tahoma" w:hAnsi="Tahoma" w:cs="Tahoma"/>
          <w:color w:val="000000"/>
          <w:sz w:val="22"/>
          <w:szCs w:val="22"/>
          <w:highlight w:val="white"/>
        </w:rPr>
      </w:pPr>
      <w:r>
        <w:rPr>
          <w:rFonts w:ascii="Tahoma" w:eastAsia="Tahoma" w:hAnsi="Tahoma" w:cs="Tahoma"/>
          <w:sz w:val="22"/>
          <w:szCs w:val="22"/>
        </w:rPr>
        <w:t>Acrescenta-se</w:t>
      </w:r>
      <w:r>
        <w:rPr>
          <w:rFonts w:ascii="Tahoma" w:eastAsia="Tahoma" w:hAnsi="Tahoma" w:cs="Tahoma"/>
          <w:b/>
          <w:sz w:val="22"/>
          <w:szCs w:val="22"/>
        </w:rPr>
        <w:t xml:space="preserve"> § </w:t>
      </w:r>
      <w:r w:rsidR="00592941">
        <w:rPr>
          <w:rFonts w:ascii="Tahoma" w:eastAsia="Tahoma" w:hAnsi="Tahoma" w:cs="Tahoma"/>
          <w:b/>
          <w:sz w:val="22"/>
          <w:szCs w:val="22"/>
        </w:rPr>
        <w:t>6</w:t>
      </w:r>
      <w:r>
        <w:rPr>
          <w:rFonts w:ascii="Tahoma" w:eastAsia="Tahoma" w:hAnsi="Tahoma" w:cs="Tahoma"/>
          <w:b/>
          <w:sz w:val="22"/>
          <w:szCs w:val="22"/>
        </w:rPr>
        <w:t xml:space="preserve">º, ao Art. </w:t>
      </w:r>
      <w:r w:rsidR="0072186D">
        <w:rPr>
          <w:rFonts w:ascii="Tahoma" w:eastAsia="Tahoma" w:hAnsi="Tahoma" w:cs="Tahoma"/>
          <w:b/>
          <w:sz w:val="22"/>
          <w:szCs w:val="22"/>
        </w:rPr>
        <w:t>014</w:t>
      </w:r>
      <w:r w:rsidRPr="00BE2646">
        <w:rPr>
          <w:rFonts w:ascii="Tahoma" w:eastAsia="Tahoma" w:hAnsi="Tahoma" w:cs="Tahoma"/>
          <w:b/>
          <w:sz w:val="22"/>
          <w:szCs w:val="22"/>
        </w:rPr>
        <w:t>,</w:t>
      </w:r>
      <w:r w:rsidR="0072186D">
        <w:rPr>
          <w:rFonts w:ascii="Tahoma" w:eastAsia="Tahoma" w:hAnsi="Tahoma" w:cs="Tahoma"/>
          <w:b/>
          <w:sz w:val="22"/>
          <w:szCs w:val="22"/>
        </w:rPr>
        <w:t xml:space="preserve"> e os mapas abaixo</w:t>
      </w:r>
      <w:r>
        <w:rPr>
          <w:rFonts w:ascii="Tahoma" w:eastAsia="Tahoma" w:hAnsi="Tahoma" w:cs="Tahoma"/>
          <w:b/>
          <w:sz w:val="22"/>
          <w:szCs w:val="22"/>
        </w:rPr>
        <w:t xml:space="preserve">, </w:t>
      </w:r>
      <w:r>
        <w:rPr>
          <w:rFonts w:ascii="Tahoma" w:eastAsia="Tahoma" w:hAnsi="Tahoma" w:cs="Tahoma"/>
          <w:sz w:val="22"/>
          <w:szCs w:val="22"/>
        </w:rPr>
        <w:t xml:space="preserve">ao Projeto de Lei Nº </w:t>
      </w:r>
      <w:r w:rsidR="003D5998">
        <w:rPr>
          <w:rFonts w:ascii="Tahoma" w:eastAsia="Tahoma" w:hAnsi="Tahoma" w:cs="Tahoma"/>
          <w:sz w:val="22"/>
          <w:szCs w:val="22"/>
        </w:rPr>
        <w:t>0022</w:t>
      </w:r>
      <w:r w:rsidR="00057622">
        <w:rPr>
          <w:rFonts w:ascii="Tahoma" w:eastAsia="Tahoma" w:hAnsi="Tahoma" w:cs="Tahoma"/>
          <w:sz w:val="22"/>
          <w:szCs w:val="22"/>
        </w:rPr>
        <w:t>1/202</w:t>
      </w:r>
      <w:r w:rsidR="003D5998">
        <w:rPr>
          <w:rFonts w:ascii="Tahoma" w:eastAsia="Tahoma" w:hAnsi="Tahoma" w:cs="Tahoma"/>
          <w:sz w:val="22"/>
          <w:szCs w:val="22"/>
        </w:rPr>
        <w:t>3</w:t>
      </w:r>
      <w:r>
        <w:rPr>
          <w:rFonts w:ascii="Tahoma" w:eastAsia="Tahoma" w:hAnsi="Tahoma" w:cs="Tahoma"/>
          <w:sz w:val="22"/>
          <w:szCs w:val="22"/>
        </w:rPr>
        <w:t>, lei urbanística de Niterói, seu zoneamento, a aplicação de instrumentos de política urbana e as regras gerais de licenciamento da atividade edilícia e de fiscalização da execução de obras</w:t>
      </w:r>
      <w:r>
        <w:rPr>
          <w:rFonts w:ascii="Tahoma" w:eastAsia="Tahoma" w:hAnsi="Tahoma" w:cs="Tahoma"/>
          <w:color w:val="000000"/>
          <w:sz w:val="22"/>
          <w:szCs w:val="22"/>
          <w:highlight w:val="white"/>
        </w:rPr>
        <w:t>.</w:t>
      </w:r>
    </w:p>
    <w:p w:rsidR="00EF76D3" w:rsidRDefault="00EF76D3">
      <w:pPr>
        <w:ind w:left="567"/>
        <w:jc w:val="both"/>
        <w:rPr>
          <w:rFonts w:ascii="Tahoma" w:eastAsia="Tahoma" w:hAnsi="Tahoma" w:cs="Tahoma"/>
          <w:sz w:val="22"/>
          <w:szCs w:val="22"/>
        </w:rPr>
      </w:pPr>
    </w:p>
    <w:p w:rsidR="0072186D" w:rsidRDefault="0072186D">
      <w:pPr>
        <w:ind w:left="567"/>
        <w:jc w:val="both"/>
        <w:rPr>
          <w:rFonts w:ascii="Tahoma" w:eastAsia="Tahoma" w:hAnsi="Tahoma" w:cs="Tahoma"/>
          <w:sz w:val="22"/>
          <w:szCs w:val="22"/>
        </w:rPr>
      </w:pPr>
    </w:p>
    <w:p w:rsidR="0072186D" w:rsidRDefault="0072186D">
      <w:pPr>
        <w:ind w:left="567"/>
        <w:jc w:val="both"/>
        <w:rPr>
          <w:rFonts w:ascii="Tahoma" w:eastAsia="Tahoma" w:hAnsi="Tahoma" w:cs="Tahoma"/>
          <w:sz w:val="22"/>
          <w:szCs w:val="22"/>
        </w:rPr>
      </w:pPr>
    </w:p>
    <w:p w:rsidR="0072186D" w:rsidRDefault="0072186D">
      <w:pPr>
        <w:ind w:left="567"/>
        <w:jc w:val="both"/>
        <w:rPr>
          <w:rFonts w:ascii="Tahoma" w:eastAsia="Tahoma" w:hAnsi="Tahoma" w:cs="Tahoma"/>
          <w:sz w:val="22"/>
          <w:szCs w:val="22"/>
        </w:rPr>
      </w:pPr>
    </w:p>
    <w:p w:rsidR="0072186D" w:rsidRDefault="0072186D">
      <w:pPr>
        <w:ind w:left="567"/>
        <w:jc w:val="both"/>
        <w:rPr>
          <w:rFonts w:ascii="Tahoma" w:eastAsia="Tahoma" w:hAnsi="Tahoma" w:cs="Tahoma"/>
          <w:sz w:val="22"/>
          <w:szCs w:val="22"/>
        </w:rPr>
      </w:pPr>
    </w:p>
    <w:p w:rsidR="00CD3640" w:rsidRDefault="00393178">
      <w:pPr>
        <w:spacing w:line="360" w:lineRule="auto"/>
        <w:jc w:val="both"/>
        <w:rPr>
          <w:rFonts w:ascii="Tahoma" w:eastAsia="Tahoma" w:hAnsi="Tahoma" w:cs="Tahoma"/>
          <w:b/>
          <w:sz w:val="22"/>
          <w:szCs w:val="22"/>
        </w:rPr>
      </w:pPr>
      <w:r>
        <w:rPr>
          <w:rFonts w:ascii="Tahoma" w:eastAsia="Tahoma" w:hAnsi="Tahoma" w:cs="Tahoma"/>
          <w:b/>
          <w:sz w:val="22"/>
          <w:szCs w:val="22"/>
        </w:rPr>
        <w:t xml:space="preserve">Art.1º - Acrescenta-se o </w:t>
      </w:r>
      <w:r w:rsidR="0072186D">
        <w:rPr>
          <w:rFonts w:ascii="Tahoma" w:eastAsia="Tahoma" w:hAnsi="Tahoma" w:cs="Tahoma"/>
          <w:b/>
          <w:sz w:val="22"/>
          <w:szCs w:val="22"/>
        </w:rPr>
        <w:t>§ 6º, ao Art. 014</w:t>
      </w:r>
      <w:r w:rsidR="0072186D" w:rsidRPr="00BE2646">
        <w:rPr>
          <w:rFonts w:ascii="Tahoma" w:eastAsia="Tahoma" w:hAnsi="Tahoma" w:cs="Tahoma"/>
          <w:b/>
          <w:sz w:val="22"/>
          <w:szCs w:val="22"/>
        </w:rPr>
        <w:t>,</w:t>
      </w:r>
      <w:r w:rsidR="0072186D">
        <w:rPr>
          <w:rFonts w:ascii="Tahoma" w:eastAsia="Tahoma" w:hAnsi="Tahoma" w:cs="Tahoma"/>
          <w:b/>
          <w:sz w:val="22"/>
          <w:szCs w:val="22"/>
        </w:rPr>
        <w:t xml:space="preserve"> e os mapas abaixo.</w:t>
      </w:r>
    </w:p>
    <w:p w:rsidR="0072186D" w:rsidRDefault="0072186D" w:rsidP="00592941">
      <w:pPr>
        <w:pStyle w:val="SemEspaamento"/>
        <w:rPr>
          <w:rFonts w:ascii="Tahoma" w:eastAsia="Arial MT" w:hAnsi="Tahoma" w:cs="Tahoma"/>
          <w:lang w:val="pt-PT"/>
        </w:rPr>
      </w:pPr>
    </w:p>
    <w:p w:rsidR="0072186D" w:rsidRDefault="0072186D" w:rsidP="00592941">
      <w:pPr>
        <w:pStyle w:val="SemEspaamento"/>
        <w:rPr>
          <w:rFonts w:ascii="Tahoma" w:eastAsia="Arial MT" w:hAnsi="Tahoma" w:cs="Tahoma"/>
          <w:lang w:val="pt-PT"/>
        </w:rPr>
      </w:pPr>
    </w:p>
    <w:p w:rsidR="0072186D" w:rsidRPr="0072186D" w:rsidRDefault="0072186D" w:rsidP="00592941">
      <w:pPr>
        <w:pStyle w:val="SemEspaamento"/>
        <w:rPr>
          <w:rFonts w:ascii="Tahoma" w:eastAsia="Arial MT" w:hAnsi="Tahoma" w:cs="Tahoma"/>
          <w:lang w:val="pt-PT"/>
        </w:rPr>
      </w:pPr>
    </w:p>
    <w:p w:rsidR="0072186D" w:rsidRPr="0072186D" w:rsidRDefault="0072186D" w:rsidP="00592941">
      <w:pPr>
        <w:pStyle w:val="SemEspaamento"/>
        <w:ind w:left="708"/>
        <w:jc w:val="both"/>
        <w:rPr>
          <w:rFonts w:ascii="Tahoma" w:hAnsi="Tahoma" w:cs="Tahoma"/>
        </w:rPr>
      </w:pPr>
      <w:r w:rsidRPr="0072186D">
        <w:rPr>
          <w:rFonts w:ascii="Tahoma" w:hAnsi="Tahoma" w:cs="Tahoma"/>
        </w:rPr>
        <w:t xml:space="preserve">Art. 14. As Zonas de Uso correspondem a porções do território nas quais incidem parâmetros próprios de parcelamento, uso e ocupação do solo estabelecidos nos quadros anexos desta Lei. </w:t>
      </w:r>
    </w:p>
    <w:p w:rsidR="0072186D" w:rsidRPr="0072186D" w:rsidRDefault="0072186D" w:rsidP="00592941">
      <w:pPr>
        <w:pStyle w:val="SemEspaamento"/>
        <w:ind w:left="708"/>
        <w:jc w:val="both"/>
        <w:rPr>
          <w:rFonts w:ascii="Tahoma" w:hAnsi="Tahoma" w:cs="Tahoma"/>
        </w:rPr>
      </w:pPr>
    </w:p>
    <w:p w:rsidR="0072186D" w:rsidRPr="0072186D" w:rsidRDefault="0072186D" w:rsidP="00592941">
      <w:pPr>
        <w:pStyle w:val="SemEspaamento"/>
        <w:ind w:left="708"/>
        <w:jc w:val="both"/>
        <w:rPr>
          <w:rFonts w:ascii="Tahoma" w:hAnsi="Tahoma" w:cs="Tahoma"/>
        </w:rPr>
      </w:pPr>
    </w:p>
    <w:p w:rsidR="0072186D" w:rsidRPr="0072186D" w:rsidRDefault="0072186D" w:rsidP="00592941">
      <w:pPr>
        <w:pStyle w:val="SemEspaamento"/>
        <w:ind w:left="708"/>
        <w:jc w:val="both"/>
        <w:rPr>
          <w:rFonts w:ascii="Tahoma" w:hAnsi="Tahoma" w:cs="Tahoma"/>
        </w:rPr>
      </w:pPr>
    </w:p>
    <w:p w:rsidR="0072186D" w:rsidRPr="0072186D" w:rsidRDefault="0072186D" w:rsidP="00592941">
      <w:pPr>
        <w:pStyle w:val="SemEspaamento"/>
        <w:ind w:left="708"/>
        <w:jc w:val="both"/>
        <w:rPr>
          <w:rFonts w:ascii="Tahoma" w:hAnsi="Tahoma" w:cs="Tahoma"/>
        </w:rPr>
      </w:pPr>
    </w:p>
    <w:p w:rsidR="0072186D" w:rsidRPr="0072186D" w:rsidRDefault="00592941" w:rsidP="0072186D">
      <w:pPr>
        <w:jc w:val="both"/>
        <w:rPr>
          <w:rFonts w:ascii="Tahoma" w:hAnsi="Tahoma" w:cs="Tahoma"/>
          <w:b/>
          <w:sz w:val="22"/>
          <w:szCs w:val="22"/>
        </w:rPr>
      </w:pPr>
      <w:r w:rsidRPr="0072186D">
        <w:rPr>
          <w:rFonts w:ascii="Tahoma" w:hAnsi="Tahoma" w:cs="Tahoma"/>
          <w:b/>
          <w:sz w:val="22"/>
          <w:szCs w:val="22"/>
        </w:rPr>
        <w:t xml:space="preserve">§ 6º </w:t>
      </w:r>
      <w:r w:rsidRPr="0072186D">
        <w:rPr>
          <w:rFonts w:ascii="Tahoma" w:hAnsi="Tahoma" w:cs="Tahoma"/>
          <w:sz w:val="22"/>
          <w:szCs w:val="22"/>
        </w:rPr>
        <w:t xml:space="preserve">- </w:t>
      </w:r>
      <w:r w:rsidR="0072186D" w:rsidRPr="0072186D">
        <w:rPr>
          <w:rFonts w:ascii="Tahoma" w:hAnsi="Tahoma" w:cs="Tahoma"/>
          <w:b/>
          <w:sz w:val="22"/>
          <w:szCs w:val="22"/>
        </w:rPr>
        <w:t>Não serão permitidas novas construções nas áreas apontadas pelo estudo da UFF - Cenário otimista de aumento médio do nível do mar de 0,50 m e possível Impactos Ambientais, Resultantes de Variações de Marés, no Cidade de Niterói, Rio de Janeiro – Brasil. Conforme mapa anexo</w:t>
      </w:r>
      <w:r w:rsidR="0072186D">
        <w:rPr>
          <w:rFonts w:ascii="Tahoma" w:hAnsi="Tahoma" w:cs="Tahoma"/>
          <w:b/>
          <w:sz w:val="22"/>
          <w:szCs w:val="22"/>
        </w:rPr>
        <w:t xml:space="preserve"> </w:t>
      </w:r>
      <w:r w:rsidR="0072186D" w:rsidRPr="0072186D">
        <w:rPr>
          <w:rFonts w:ascii="Tahoma" w:hAnsi="Tahoma" w:cs="Tahoma"/>
          <w:b/>
          <w:sz w:val="22"/>
          <w:szCs w:val="22"/>
        </w:rPr>
        <w:t>Maré</w:t>
      </w:r>
      <w:r w:rsidR="0072186D">
        <w:rPr>
          <w:rFonts w:ascii="Tahoma" w:hAnsi="Tahoma" w:cs="Tahoma"/>
          <w:b/>
          <w:sz w:val="22"/>
          <w:szCs w:val="22"/>
        </w:rPr>
        <w:t xml:space="preserve"> </w:t>
      </w:r>
      <w:r w:rsidR="0072186D" w:rsidRPr="0072186D">
        <w:rPr>
          <w:rFonts w:ascii="Tahoma" w:hAnsi="Tahoma" w:cs="Tahoma"/>
          <w:b/>
          <w:sz w:val="22"/>
          <w:szCs w:val="22"/>
        </w:rPr>
        <w:t>astronômica de 1,20m.</w:t>
      </w:r>
    </w:p>
    <w:p w:rsidR="0072186D" w:rsidRPr="0072186D" w:rsidRDefault="0072186D" w:rsidP="0072186D">
      <w:pPr>
        <w:jc w:val="both"/>
        <w:rPr>
          <w:rFonts w:ascii="Tahoma" w:hAnsi="Tahoma" w:cs="Tahoma"/>
          <w:b/>
          <w:sz w:val="22"/>
          <w:szCs w:val="22"/>
        </w:rPr>
      </w:pPr>
    </w:p>
    <w:p w:rsidR="00592941" w:rsidRDefault="0096410E" w:rsidP="0072186D">
      <w:pPr>
        <w:jc w:val="both"/>
        <w:rPr>
          <w:rFonts w:ascii="Tahoma" w:eastAsia="Tahoma" w:hAnsi="Tahoma" w:cs="Tahoma"/>
          <w:b/>
          <w:sz w:val="22"/>
          <w:szCs w:val="22"/>
        </w:rPr>
      </w:pPr>
      <w:r w:rsidRPr="0096410E">
        <w:rPr>
          <w:b/>
          <w:noProof/>
          <w:lang w:eastAsia="pt-BR"/>
        </w:rPr>
        <w:lastRenderedPageBreak/>
        <w:drawing>
          <wp:inline distT="0" distB="0" distL="0" distR="0">
            <wp:extent cx="5422962" cy="4365394"/>
            <wp:effectExtent l="19050" t="0" r="6288" b="0"/>
            <wp:docPr id="2"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em título 02.png"/>
                    <pic:cNvPicPr/>
                  </pic:nvPicPr>
                  <pic:blipFill>
                    <a:blip r:embed="rId8">
                      <a:extLst>
                        <a:ext uri="{BEBA8EAE-BF5A-486C-A8C5-ECC9F3942E4B}">
                          <a14:imgProps xmlns:a14="http://schemas.microsoft.com/office/drawing/2010/main">
                            <a14:imgLayer r:embed="rId9">
                              <a14:imgEffect>
                                <a14:sharpenSoften amount="30000"/>
                              </a14:imgEffect>
                            </a14:imgLayer>
                          </a14:imgProps>
                        </a:ext>
                        <a:ext uri="{28A0092B-C50C-407E-A947-70E740481C1C}">
                          <a14:useLocalDpi xmlns:a14="http://schemas.microsoft.com/office/drawing/2010/main" val="0"/>
                        </a:ext>
                      </a:extLst>
                    </a:blip>
                    <a:stretch>
                      <a:fillRect/>
                    </a:stretch>
                  </pic:blipFill>
                  <pic:spPr>
                    <a:xfrm>
                      <a:off x="0" y="0"/>
                      <a:ext cx="5425039" cy="4367066"/>
                    </a:xfrm>
                    <a:prstGeom prst="rect">
                      <a:avLst/>
                    </a:prstGeom>
                  </pic:spPr>
                </pic:pic>
              </a:graphicData>
            </a:graphic>
          </wp:inline>
        </w:drawing>
      </w:r>
      <w:r w:rsidR="0072186D" w:rsidRPr="0072186D">
        <w:rPr>
          <w:b/>
        </w:rPr>
        <w:br/>
      </w:r>
    </w:p>
    <w:p w:rsidR="00EF76D3" w:rsidRPr="00425313" w:rsidRDefault="00D81AED" w:rsidP="00425313">
      <w:pPr>
        <w:ind w:left="567"/>
        <w:jc w:val="right"/>
        <w:rPr>
          <w:rFonts w:ascii="Tahoma" w:eastAsia="Tahoma" w:hAnsi="Tahoma" w:cs="Tahoma"/>
        </w:rPr>
      </w:pPr>
      <w:r>
        <w:rPr>
          <w:rFonts w:ascii="Tahoma" w:eastAsia="Tahoma" w:hAnsi="Tahoma" w:cs="Tahoma"/>
        </w:rPr>
        <w:t xml:space="preserve">Sala das Sessões, </w:t>
      </w:r>
      <w:r w:rsidR="00BE2646">
        <w:rPr>
          <w:rFonts w:ascii="Tahoma" w:eastAsia="Tahoma" w:hAnsi="Tahoma" w:cs="Tahoma"/>
        </w:rPr>
        <w:t>12</w:t>
      </w:r>
      <w:r w:rsidR="00393178">
        <w:rPr>
          <w:rFonts w:ascii="Tahoma" w:eastAsia="Tahoma" w:hAnsi="Tahoma" w:cs="Tahoma"/>
        </w:rPr>
        <w:t xml:space="preserve"> de </w:t>
      </w:r>
      <w:r w:rsidR="00BE2646">
        <w:rPr>
          <w:rFonts w:ascii="Tahoma" w:eastAsia="Tahoma" w:hAnsi="Tahoma" w:cs="Tahoma"/>
        </w:rPr>
        <w:t>fevereiro</w:t>
      </w:r>
      <w:r w:rsidR="00393178">
        <w:rPr>
          <w:rFonts w:ascii="Tahoma" w:eastAsia="Tahoma" w:hAnsi="Tahoma" w:cs="Tahoma"/>
        </w:rPr>
        <w:t xml:space="preserve"> de 202</w:t>
      </w:r>
      <w:r w:rsidR="00BE2646">
        <w:rPr>
          <w:rFonts w:ascii="Tahoma" w:eastAsia="Tahoma" w:hAnsi="Tahoma" w:cs="Tahoma"/>
        </w:rPr>
        <w:t>4</w:t>
      </w:r>
      <w:r w:rsidR="00425313">
        <w:rPr>
          <w:rFonts w:ascii="Tahoma" w:eastAsia="Tahoma" w:hAnsi="Tahoma" w:cs="Tahoma"/>
        </w:rPr>
        <w:t>.</w:t>
      </w:r>
    </w:p>
    <w:p w:rsidR="00EF76D3" w:rsidRDefault="00EF76D3">
      <w:pPr>
        <w:shd w:val="clear" w:color="auto" w:fill="FFFFFF"/>
        <w:jc w:val="center"/>
        <w:rPr>
          <w:rFonts w:ascii="Tahoma" w:eastAsia="Tahoma" w:hAnsi="Tahoma" w:cs="Tahoma"/>
          <w:b/>
        </w:rPr>
      </w:pPr>
    </w:p>
    <w:p w:rsidR="00EF76D3" w:rsidRDefault="00EF76D3">
      <w:pPr>
        <w:shd w:val="clear" w:color="auto" w:fill="FFFFFF"/>
        <w:jc w:val="center"/>
        <w:rPr>
          <w:rFonts w:ascii="Tahoma" w:eastAsia="Tahoma" w:hAnsi="Tahoma" w:cs="Tahoma"/>
          <w:b/>
        </w:rPr>
      </w:pPr>
    </w:p>
    <w:p w:rsidR="00425313" w:rsidRPr="003B7D27" w:rsidRDefault="00425313" w:rsidP="00425313">
      <w:pPr>
        <w:jc w:val="both"/>
        <w:rPr>
          <w:rFonts w:ascii="Arial" w:hAnsi="Arial" w:cs="Arial"/>
          <w:color w:val="000000"/>
          <w:sz w:val="22"/>
          <w:szCs w:val="22"/>
        </w:rPr>
      </w:pPr>
      <w:bookmarkStart w:id="0" w:name="_GoBack"/>
      <w:bookmarkEnd w:id="0"/>
      <w:r w:rsidRPr="003B7D27">
        <w:rPr>
          <w:rFonts w:ascii="Arial" w:hAnsi="Arial" w:cs="Arial"/>
          <w:color w:val="000000"/>
          <w:sz w:val="22"/>
          <w:szCs w:val="22"/>
        </w:rPr>
        <w:t>C.E.X.</w:t>
      </w:r>
    </w:p>
    <w:p w:rsidR="00425313" w:rsidRPr="003B7D27" w:rsidRDefault="00425313" w:rsidP="00425313">
      <w:pPr>
        <w:jc w:val="center"/>
        <w:rPr>
          <w:rFonts w:ascii="Arial" w:hAnsi="Arial" w:cs="Arial"/>
          <w:color w:val="000000"/>
          <w:sz w:val="22"/>
          <w:szCs w:val="22"/>
        </w:rPr>
      </w:pPr>
      <w:r w:rsidRPr="003B7D27">
        <w:rPr>
          <w:rFonts w:ascii="Arial" w:hAnsi="Arial" w:cs="Arial"/>
          <w:color w:val="000000"/>
          <w:sz w:val="22"/>
          <w:szCs w:val="22"/>
        </w:rPr>
        <w:t>Milton Carlos Lopes – CAL</w:t>
      </w:r>
    </w:p>
    <w:p w:rsidR="00425313" w:rsidRPr="003B7D27" w:rsidRDefault="00425313" w:rsidP="00425313">
      <w:pPr>
        <w:jc w:val="center"/>
        <w:rPr>
          <w:rFonts w:ascii="Arial" w:hAnsi="Arial" w:cs="Arial"/>
          <w:color w:val="000000"/>
          <w:sz w:val="22"/>
          <w:szCs w:val="22"/>
        </w:rPr>
      </w:pPr>
      <w:r w:rsidRPr="003B7D27">
        <w:rPr>
          <w:rFonts w:ascii="Arial" w:hAnsi="Arial" w:cs="Arial"/>
          <w:color w:val="000000"/>
          <w:sz w:val="22"/>
          <w:szCs w:val="22"/>
        </w:rPr>
        <w:t>Presidente</w:t>
      </w:r>
    </w:p>
    <w:p w:rsidR="00425313" w:rsidRDefault="00425313" w:rsidP="00425313">
      <w:pPr>
        <w:jc w:val="center"/>
        <w:rPr>
          <w:rFonts w:ascii="Arial" w:hAnsi="Arial" w:cs="Arial"/>
          <w:color w:val="000000"/>
          <w:sz w:val="22"/>
          <w:szCs w:val="22"/>
        </w:rPr>
      </w:pPr>
    </w:p>
    <w:p w:rsidR="00425313" w:rsidRPr="003B7D27" w:rsidRDefault="00425313" w:rsidP="00425313">
      <w:pPr>
        <w:jc w:val="center"/>
        <w:rPr>
          <w:rFonts w:ascii="Arial" w:hAnsi="Arial" w:cs="Arial"/>
          <w:color w:val="000000"/>
          <w:sz w:val="22"/>
          <w:szCs w:val="22"/>
        </w:rPr>
      </w:pPr>
      <w:r w:rsidRPr="003B7D27">
        <w:rPr>
          <w:rFonts w:ascii="Arial" w:hAnsi="Arial" w:cs="Arial"/>
          <w:color w:val="000000"/>
          <w:sz w:val="22"/>
          <w:szCs w:val="22"/>
        </w:rPr>
        <w:t xml:space="preserve">Renato </w:t>
      </w:r>
      <w:proofErr w:type="spellStart"/>
      <w:r w:rsidRPr="003B7D27">
        <w:rPr>
          <w:rFonts w:ascii="Arial" w:hAnsi="Arial" w:cs="Arial"/>
          <w:color w:val="000000"/>
          <w:sz w:val="22"/>
          <w:szCs w:val="22"/>
        </w:rPr>
        <w:t>Cariello</w:t>
      </w:r>
      <w:proofErr w:type="spellEnd"/>
      <w:r w:rsidRPr="003B7D27">
        <w:rPr>
          <w:rFonts w:ascii="Arial" w:hAnsi="Arial" w:cs="Arial"/>
          <w:color w:val="000000"/>
          <w:sz w:val="22"/>
          <w:szCs w:val="22"/>
        </w:rPr>
        <w:t xml:space="preserve">                                                   </w:t>
      </w:r>
      <w:r>
        <w:rPr>
          <w:rFonts w:ascii="Arial" w:hAnsi="Arial" w:cs="Arial"/>
          <w:color w:val="000000"/>
          <w:sz w:val="22"/>
          <w:szCs w:val="22"/>
        </w:rPr>
        <w:t xml:space="preserve">          </w:t>
      </w:r>
      <w:r w:rsidRPr="003B7D27">
        <w:rPr>
          <w:rFonts w:ascii="Arial" w:hAnsi="Arial" w:cs="Arial"/>
          <w:color w:val="000000"/>
          <w:sz w:val="22"/>
          <w:szCs w:val="22"/>
        </w:rPr>
        <w:t xml:space="preserve">                           Paulo Velasco</w:t>
      </w:r>
    </w:p>
    <w:p w:rsidR="00425313" w:rsidRPr="003B7D27" w:rsidRDefault="00425313" w:rsidP="00425313">
      <w:pPr>
        <w:jc w:val="center"/>
        <w:rPr>
          <w:rFonts w:ascii="Arial" w:hAnsi="Arial" w:cs="Arial"/>
          <w:color w:val="000000"/>
          <w:sz w:val="22"/>
          <w:szCs w:val="22"/>
        </w:rPr>
      </w:pPr>
      <w:r w:rsidRPr="003B7D27">
        <w:rPr>
          <w:rFonts w:ascii="Arial" w:hAnsi="Arial" w:cs="Arial"/>
          <w:color w:val="000000"/>
          <w:sz w:val="22"/>
          <w:szCs w:val="22"/>
        </w:rPr>
        <w:t>1º Vice- Presidente                                                                               2º Vice- Presidente</w:t>
      </w:r>
    </w:p>
    <w:p w:rsidR="00425313" w:rsidRPr="003B7D27" w:rsidRDefault="00425313" w:rsidP="00425313">
      <w:pPr>
        <w:jc w:val="center"/>
        <w:rPr>
          <w:rFonts w:ascii="Arial" w:hAnsi="Arial" w:cs="Arial"/>
          <w:color w:val="000000"/>
          <w:sz w:val="22"/>
          <w:szCs w:val="22"/>
        </w:rPr>
      </w:pPr>
    </w:p>
    <w:p w:rsidR="00425313" w:rsidRPr="003B7D27" w:rsidRDefault="00425313" w:rsidP="00425313">
      <w:pPr>
        <w:jc w:val="center"/>
        <w:rPr>
          <w:rFonts w:ascii="Arial" w:hAnsi="Arial" w:cs="Arial"/>
          <w:color w:val="000000"/>
          <w:sz w:val="22"/>
          <w:szCs w:val="22"/>
        </w:rPr>
      </w:pPr>
    </w:p>
    <w:p w:rsidR="00425313" w:rsidRPr="003B7D27" w:rsidRDefault="00425313" w:rsidP="00425313">
      <w:pPr>
        <w:jc w:val="center"/>
        <w:rPr>
          <w:rFonts w:ascii="Arial" w:hAnsi="Arial" w:cs="Arial"/>
          <w:color w:val="000000"/>
          <w:sz w:val="22"/>
          <w:szCs w:val="22"/>
        </w:rPr>
      </w:pPr>
    </w:p>
    <w:p w:rsidR="00425313" w:rsidRPr="003B7D27" w:rsidRDefault="00425313" w:rsidP="00425313">
      <w:pPr>
        <w:jc w:val="center"/>
        <w:rPr>
          <w:rFonts w:ascii="Arial" w:hAnsi="Arial" w:cs="Arial"/>
          <w:color w:val="000000"/>
          <w:sz w:val="22"/>
          <w:szCs w:val="22"/>
        </w:rPr>
      </w:pPr>
    </w:p>
    <w:p w:rsidR="00425313" w:rsidRPr="003B7D27" w:rsidRDefault="00425313" w:rsidP="00425313">
      <w:pPr>
        <w:rPr>
          <w:rFonts w:ascii="Arial" w:hAnsi="Arial" w:cs="Arial"/>
          <w:color w:val="000000"/>
          <w:sz w:val="22"/>
          <w:szCs w:val="22"/>
        </w:rPr>
      </w:pPr>
      <w:r w:rsidRPr="003B7D27">
        <w:rPr>
          <w:rFonts w:ascii="Arial" w:hAnsi="Arial" w:cs="Arial"/>
          <w:color w:val="000000"/>
          <w:sz w:val="22"/>
          <w:szCs w:val="22"/>
        </w:rPr>
        <w:t xml:space="preserve">      Emanuel Rocha                                                                           </w:t>
      </w:r>
      <w:r>
        <w:rPr>
          <w:rFonts w:ascii="Arial Narrow" w:hAnsi="Arial Narrow" w:cs="Arial Narrow"/>
          <w:color w:val="000000"/>
        </w:rPr>
        <w:t xml:space="preserve">Adriano dos Santos Oliveira - </w:t>
      </w:r>
      <w:proofErr w:type="spellStart"/>
      <w:r>
        <w:rPr>
          <w:rFonts w:ascii="Arial Narrow" w:hAnsi="Arial Narrow" w:cs="Arial Narrow"/>
          <w:color w:val="000000"/>
        </w:rPr>
        <w:t>Boinha</w:t>
      </w:r>
      <w:proofErr w:type="spellEnd"/>
    </w:p>
    <w:p w:rsidR="00425313" w:rsidRPr="003B7D27" w:rsidRDefault="00425313" w:rsidP="00425313">
      <w:pPr>
        <w:rPr>
          <w:rFonts w:ascii="Arial" w:hAnsi="Arial" w:cs="Arial"/>
          <w:color w:val="000000"/>
          <w:sz w:val="22"/>
          <w:szCs w:val="22"/>
        </w:rPr>
      </w:pPr>
      <w:r w:rsidRPr="003B7D27">
        <w:rPr>
          <w:rFonts w:ascii="Arial" w:hAnsi="Arial" w:cs="Arial"/>
          <w:color w:val="000000"/>
          <w:sz w:val="22"/>
          <w:szCs w:val="22"/>
        </w:rPr>
        <w:t xml:space="preserve">       1º Secretário                                                                                   </w:t>
      </w:r>
      <w:r>
        <w:rPr>
          <w:rFonts w:ascii="Arial" w:hAnsi="Arial" w:cs="Arial"/>
          <w:color w:val="000000"/>
          <w:sz w:val="22"/>
          <w:szCs w:val="22"/>
        </w:rPr>
        <w:t xml:space="preserve">         </w:t>
      </w:r>
      <w:r w:rsidRPr="003B7D27">
        <w:rPr>
          <w:rFonts w:ascii="Arial" w:hAnsi="Arial" w:cs="Arial"/>
          <w:color w:val="000000"/>
          <w:sz w:val="22"/>
          <w:szCs w:val="22"/>
        </w:rPr>
        <w:t xml:space="preserve">     </w:t>
      </w:r>
      <w:r>
        <w:rPr>
          <w:rFonts w:ascii="Arial" w:hAnsi="Arial" w:cs="Arial"/>
          <w:color w:val="000000"/>
          <w:sz w:val="22"/>
          <w:szCs w:val="22"/>
        </w:rPr>
        <w:t>2º Secretário</w:t>
      </w:r>
      <w:r w:rsidRPr="003B7D27">
        <w:rPr>
          <w:rFonts w:ascii="Arial" w:hAnsi="Arial" w:cs="Arial"/>
          <w:color w:val="000000"/>
          <w:sz w:val="22"/>
          <w:szCs w:val="22"/>
        </w:rPr>
        <w:t xml:space="preserve"> </w:t>
      </w:r>
    </w:p>
    <w:p w:rsidR="00EF76D3" w:rsidRDefault="00393178">
      <w:pPr>
        <w:spacing w:line="360" w:lineRule="auto"/>
        <w:rPr>
          <w:rFonts w:ascii="Tahoma" w:eastAsia="Tahoma" w:hAnsi="Tahoma" w:cs="Tahoma"/>
          <w:b/>
          <w:sz w:val="22"/>
          <w:szCs w:val="22"/>
        </w:rPr>
      </w:pPr>
      <w:r>
        <w:rPr>
          <w:rFonts w:ascii="Tahoma" w:eastAsia="Tahoma" w:hAnsi="Tahoma" w:cs="Tahoma"/>
          <w:b/>
          <w:sz w:val="22"/>
          <w:szCs w:val="22"/>
        </w:rPr>
        <w:t>JUSTIFICATIVA:</w:t>
      </w:r>
    </w:p>
    <w:p w:rsidR="00EA348E" w:rsidRPr="00EA348E" w:rsidRDefault="00393178" w:rsidP="00EA348E">
      <w:pPr>
        <w:spacing w:line="360" w:lineRule="auto"/>
        <w:ind w:firstLine="720"/>
        <w:jc w:val="both"/>
        <w:rPr>
          <w:rFonts w:ascii="Tahoma" w:eastAsia="Tahoma" w:hAnsi="Tahoma" w:cs="Tahoma"/>
          <w:sz w:val="22"/>
          <w:szCs w:val="22"/>
        </w:rPr>
      </w:pPr>
      <w:r w:rsidRPr="00EA348E">
        <w:rPr>
          <w:rFonts w:ascii="Tahoma" w:eastAsia="Tahoma" w:hAnsi="Tahoma" w:cs="Tahoma"/>
          <w:sz w:val="22"/>
          <w:szCs w:val="22"/>
        </w:rPr>
        <w:t xml:space="preserve">A presente </w:t>
      </w:r>
      <w:r w:rsidR="00CD3640" w:rsidRPr="00EA348E">
        <w:rPr>
          <w:rFonts w:ascii="Tahoma" w:eastAsia="Tahoma" w:hAnsi="Tahoma" w:cs="Tahoma"/>
          <w:sz w:val="22"/>
          <w:szCs w:val="22"/>
        </w:rPr>
        <w:t>“</w:t>
      </w:r>
      <w:r w:rsidRPr="00EA348E">
        <w:rPr>
          <w:rFonts w:ascii="Tahoma" w:eastAsia="Tahoma" w:hAnsi="Tahoma" w:cs="Tahoma"/>
          <w:sz w:val="22"/>
          <w:szCs w:val="22"/>
        </w:rPr>
        <w:t>emenda</w:t>
      </w:r>
      <w:r w:rsidR="00CD3640" w:rsidRPr="00EA348E">
        <w:rPr>
          <w:rFonts w:ascii="Tahoma" w:eastAsia="Tahoma" w:hAnsi="Tahoma" w:cs="Tahoma"/>
          <w:sz w:val="22"/>
          <w:szCs w:val="22"/>
        </w:rPr>
        <w:t xml:space="preserve"> popular” foi apresentada pelo CCRON, durante audiência publica presidida por essa Comissão, ela </w:t>
      </w:r>
      <w:r w:rsidRPr="00EA348E">
        <w:rPr>
          <w:rFonts w:ascii="Tahoma" w:eastAsia="Tahoma" w:hAnsi="Tahoma" w:cs="Tahoma"/>
          <w:sz w:val="22"/>
          <w:szCs w:val="22"/>
        </w:rPr>
        <w:t xml:space="preserve">vem no intuito de atender a demanda dos moradores, voluntários do CCRON, </w:t>
      </w:r>
      <w:r w:rsidRPr="00EA348E">
        <w:rPr>
          <w:rFonts w:ascii="Tahoma" w:eastAsia="Tahoma" w:hAnsi="Tahoma" w:cs="Tahoma"/>
          <w:sz w:val="22"/>
          <w:szCs w:val="22"/>
        </w:rPr>
        <w:lastRenderedPageBreak/>
        <w:t xml:space="preserve">CLIP, AMADARCY, Coletivo Córrego dos Colibris, Coletivo Lagoa para Sempre, ambientalistas, setor acadêmico, </w:t>
      </w:r>
      <w:proofErr w:type="spellStart"/>
      <w:r w:rsidRPr="00EA348E">
        <w:rPr>
          <w:rFonts w:ascii="Tahoma" w:eastAsia="Tahoma" w:hAnsi="Tahoma" w:cs="Tahoma"/>
          <w:sz w:val="22"/>
          <w:szCs w:val="22"/>
        </w:rPr>
        <w:t>etc</w:t>
      </w:r>
      <w:proofErr w:type="spellEnd"/>
      <w:r w:rsidR="00D6557A" w:rsidRPr="00EA348E">
        <w:rPr>
          <w:rFonts w:ascii="Tahoma" w:eastAsia="Tahoma" w:hAnsi="Tahoma" w:cs="Tahoma"/>
          <w:sz w:val="22"/>
          <w:szCs w:val="22"/>
        </w:rPr>
        <w:t>,</w:t>
      </w:r>
      <w:r w:rsidRPr="00EA348E">
        <w:rPr>
          <w:rFonts w:ascii="Tahoma" w:eastAsia="Tahoma" w:hAnsi="Tahoma" w:cs="Tahoma"/>
          <w:sz w:val="22"/>
          <w:szCs w:val="22"/>
        </w:rPr>
        <w:t xml:space="preserve"> que recebemos por meio de reuniões e também durante as audiências públicas do Projeto de Lei em questão, na qual tentamos buscar uma solução para a situações complexas que existem </w:t>
      </w:r>
      <w:r w:rsidR="00D6557A" w:rsidRPr="00EA348E">
        <w:rPr>
          <w:rFonts w:ascii="Tahoma" w:eastAsia="Tahoma" w:hAnsi="Tahoma" w:cs="Tahoma"/>
          <w:sz w:val="22"/>
          <w:szCs w:val="22"/>
        </w:rPr>
        <w:t>entre à interação</w:t>
      </w:r>
      <w:r w:rsidRPr="00EA348E">
        <w:rPr>
          <w:rFonts w:ascii="Tahoma" w:eastAsia="Tahoma" w:hAnsi="Tahoma" w:cs="Tahoma"/>
          <w:sz w:val="22"/>
          <w:szCs w:val="22"/>
        </w:rPr>
        <w:t xml:space="preserve"> da sociedade com o meio ambiente, ligado ao desenvolvimento econômico. </w:t>
      </w:r>
    </w:p>
    <w:p w:rsidR="00EA348E" w:rsidRPr="00EA348E" w:rsidRDefault="00EA348E" w:rsidP="00EA348E">
      <w:pPr>
        <w:spacing w:line="360" w:lineRule="auto"/>
        <w:jc w:val="both"/>
        <w:rPr>
          <w:rFonts w:ascii="Tahoma" w:eastAsia="Tahoma" w:hAnsi="Tahoma" w:cs="Tahoma"/>
          <w:sz w:val="22"/>
          <w:szCs w:val="22"/>
        </w:rPr>
      </w:pPr>
    </w:p>
    <w:p w:rsidR="00EA348E" w:rsidRPr="00EA348E" w:rsidRDefault="00EA348E" w:rsidP="00EA348E">
      <w:pPr>
        <w:spacing w:line="360" w:lineRule="auto"/>
        <w:ind w:firstLine="360"/>
        <w:jc w:val="both"/>
        <w:rPr>
          <w:rFonts w:ascii="Tahoma" w:eastAsia="Tahoma" w:hAnsi="Tahoma" w:cs="Tahoma"/>
          <w:sz w:val="22"/>
          <w:szCs w:val="22"/>
        </w:rPr>
      </w:pPr>
      <w:r w:rsidRPr="00EA348E">
        <w:rPr>
          <w:rFonts w:ascii="Tahoma" w:eastAsia="Tahoma" w:hAnsi="Tahoma" w:cs="Tahoma"/>
          <w:sz w:val="22"/>
          <w:szCs w:val="22"/>
        </w:rPr>
        <w:t xml:space="preserve">As imagens acima foram retiradas do estudo realizado pela Universidade Federal Fluminense e apresentado pela Secretaria Municipal em uma das assembleias do Fórum do Clima e pode ser lido na íntegra em: </w:t>
      </w:r>
      <w:hyperlink r:id="rId10" w:history="1">
        <w:r w:rsidRPr="00EA348E">
          <w:rPr>
            <w:rStyle w:val="Hyperlink"/>
            <w:rFonts w:ascii="Tahoma" w:eastAsia="Tahoma" w:hAnsi="Tahoma" w:cs="Tahoma"/>
            <w:sz w:val="22"/>
            <w:szCs w:val="22"/>
          </w:rPr>
          <w:t>https://www.mdpi.com/2673-964X/3/3/13</w:t>
        </w:r>
      </w:hyperlink>
    </w:p>
    <w:p w:rsidR="00EA348E" w:rsidRPr="00EA348E" w:rsidRDefault="00EA348E" w:rsidP="00EA348E">
      <w:pPr>
        <w:spacing w:line="360" w:lineRule="auto"/>
        <w:jc w:val="both"/>
        <w:rPr>
          <w:rFonts w:ascii="Tahoma" w:eastAsia="Tahoma" w:hAnsi="Tahoma" w:cs="Tahoma"/>
          <w:sz w:val="22"/>
          <w:szCs w:val="22"/>
        </w:rPr>
      </w:pPr>
    </w:p>
    <w:p w:rsidR="00EA348E" w:rsidRPr="00EA348E" w:rsidRDefault="00EA348E" w:rsidP="00EA348E">
      <w:pPr>
        <w:spacing w:line="360" w:lineRule="auto"/>
        <w:ind w:firstLine="360"/>
        <w:jc w:val="both"/>
        <w:rPr>
          <w:rFonts w:ascii="Tahoma" w:eastAsia="Tahoma" w:hAnsi="Tahoma" w:cs="Tahoma"/>
          <w:sz w:val="22"/>
          <w:szCs w:val="22"/>
        </w:rPr>
      </w:pPr>
      <w:r w:rsidRPr="00EA348E">
        <w:rPr>
          <w:rFonts w:ascii="Tahoma" w:eastAsia="Tahoma" w:hAnsi="Tahoma" w:cs="Tahoma"/>
          <w:sz w:val="22"/>
          <w:szCs w:val="22"/>
        </w:rPr>
        <w:t>À medida que as mudanças climáticas aceleram, as cidades enfrentam desafios cada vez mais urgentes, especialmente aquelas localizadas em áreas propensas ao aumento do nível do mar. Este texto explora os perigos associados ao adensamento e verticalização urbana nessas regiões, destacando as vulnerabilidades exacerbadas pelos impactos das mudanças climáticas.</w:t>
      </w:r>
    </w:p>
    <w:p w:rsidR="00EA348E" w:rsidRPr="00EA348E" w:rsidRDefault="00EA348E" w:rsidP="00EA348E">
      <w:pPr>
        <w:spacing w:line="360" w:lineRule="auto"/>
        <w:jc w:val="both"/>
        <w:rPr>
          <w:rFonts w:ascii="Tahoma" w:eastAsia="Tahoma" w:hAnsi="Tahoma" w:cs="Tahoma"/>
          <w:sz w:val="22"/>
          <w:szCs w:val="22"/>
        </w:rPr>
      </w:pPr>
    </w:p>
    <w:p w:rsidR="00EA348E" w:rsidRPr="00EA348E" w:rsidRDefault="00EA348E" w:rsidP="00EA348E">
      <w:pPr>
        <w:numPr>
          <w:ilvl w:val="0"/>
          <w:numId w:val="1"/>
        </w:numPr>
        <w:spacing w:line="360" w:lineRule="auto"/>
        <w:jc w:val="both"/>
        <w:rPr>
          <w:rFonts w:ascii="Tahoma" w:eastAsia="Tahoma" w:hAnsi="Tahoma" w:cs="Tahoma"/>
          <w:sz w:val="22"/>
          <w:szCs w:val="22"/>
        </w:rPr>
      </w:pPr>
      <w:r w:rsidRPr="00EA348E">
        <w:rPr>
          <w:rFonts w:ascii="Tahoma" w:eastAsia="Tahoma" w:hAnsi="Tahoma" w:cs="Tahoma"/>
          <w:b/>
          <w:bCs/>
          <w:sz w:val="22"/>
          <w:szCs w:val="22"/>
        </w:rPr>
        <w:t>Inundações Urbanas e Verticalização:</w:t>
      </w:r>
      <w:r w:rsidRPr="00EA348E">
        <w:rPr>
          <w:rFonts w:ascii="Tahoma" w:eastAsia="Tahoma" w:hAnsi="Tahoma" w:cs="Tahoma"/>
          <w:sz w:val="22"/>
          <w:szCs w:val="22"/>
        </w:rPr>
        <w:t xml:space="preserve"> A verticalização exacerbada em áreas urbanas aumenta a impermeabilização do solo, diminuindo a capacidade natural de absorção de água. Isso intensifica o risco de inundações urbanas, já agravado pelo aumento do nível do mar, que torna as cidades mais suscetíveis a eventos climáticos extremos.</w:t>
      </w:r>
    </w:p>
    <w:p w:rsidR="00EA348E" w:rsidRPr="00EA348E" w:rsidRDefault="00EA348E" w:rsidP="00EA348E">
      <w:pPr>
        <w:numPr>
          <w:ilvl w:val="0"/>
          <w:numId w:val="1"/>
        </w:numPr>
        <w:spacing w:line="360" w:lineRule="auto"/>
        <w:jc w:val="both"/>
        <w:rPr>
          <w:rFonts w:ascii="Tahoma" w:eastAsia="Tahoma" w:hAnsi="Tahoma" w:cs="Tahoma"/>
          <w:sz w:val="22"/>
          <w:szCs w:val="22"/>
        </w:rPr>
      </w:pPr>
      <w:r w:rsidRPr="00EA348E">
        <w:rPr>
          <w:rFonts w:ascii="Tahoma" w:eastAsia="Tahoma" w:hAnsi="Tahoma" w:cs="Tahoma"/>
          <w:b/>
          <w:bCs/>
          <w:sz w:val="22"/>
          <w:szCs w:val="22"/>
        </w:rPr>
        <w:t>Subsolo Urbano e Elevação do Nível do Mar:</w:t>
      </w:r>
      <w:r w:rsidRPr="00EA348E">
        <w:rPr>
          <w:rFonts w:ascii="Tahoma" w:eastAsia="Tahoma" w:hAnsi="Tahoma" w:cs="Tahoma"/>
          <w:sz w:val="22"/>
          <w:szCs w:val="22"/>
        </w:rPr>
        <w:t xml:space="preserve"> A verticalização não se limita apenas às estruturas acima do solo. A expansão subterrânea das cidades, como estacionamentos e metrôs, pode comprometer a estabilidade do solo em áreas costeiras, tornando-as mais suscetíveis à intrusão salina e à erosão.</w:t>
      </w:r>
    </w:p>
    <w:p w:rsidR="00EA348E" w:rsidRPr="00EA348E" w:rsidRDefault="00EA348E" w:rsidP="00EA348E">
      <w:pPr>
        <w:numPr>
          <w:ilvl w:val="0"/>
          <w:numId w:val="1"/>
        </w:numPr>
        <w:spacing w:line="360" w:lineRule="auto"/>
        <w:jc w:val="both"/>
        <w:rPr>
          <w:rFonts w:ascii="Tahoma" w:eastAsia="Tahoma" w:hAnsi="Tahoma" w:cs="Tahoma"/>
          <w:sz w:val="22"/>
          <w:szCs w:val="22"/>
        </w:rPr>
      </w:pPr>
      <w:r w:rsidRPr="00EA348E">
        <w:rPr>
          <w:rFonts w:ascii="Tahoma" w:eastAsia="Tahoma" w:hAnsi="Tahoma" w:cs="Tahoma"/>
          <w:b/>
          <w:bCs/>
          <w:sz w:val="22"/>
          <w:szCs w:val="22"/>
        </w:rPr>
        <w:t>Densidade Populacional e Evacuação:</w:t>
      </w:r>
      <w:r w:rsidRPr="00EA348E">
        <w:rPr>
          <w:rFonts w:ascii="Tahoma" w:eastAsia="Tahoma" w:hAnsi="Tahoma" w:cs="Tahoma"/>
          <w:sz w:val="22"/>
          <w:szCs w:val="22"/>
        </w:rPr>
        <w:t xml:space="preserve"> O adensamento populacional exacerbado dificulta evacuações rápidas e eficientes em caso de inundações repentinas. O aumento do número de residentes em arranha-céus e áreas densamente povoadas amplifica os desafios logísticos e de segurança em situações de emergência.</w:t>
      </w:r>
    </w:p>
    <w:p w:rsidR="00EA348E" w:rsidRPr="00EA348E" w:rsidRDefault="00EA348E" w:rsidP="00EA348E">
      <w:pPr>
        <w:spacing w:line="360" w:lineRule="auto"/>
        <w:ind w:left="720"/>
        <w:jc w:val="both"/>
        <w:rPr>
          <w:rFonts w:ascii="Tahoma" w:eastAsia="Tahoma" w:hAnsi="Tahoma" w:cs="Tahoma"/>
          <w:sz w:val="22"/>
          <w:szCs w:val="22"/>
        </w:rPr>
      </w:pPr>
    </w:p>
    <w:p w:rsidR="00EA348E" w:rsidRPr="00EA348E" w:rsidRDefault="00EA348E" w:rsidP="00EA348E">
      <w:pPr>
        <w:spacing w:line="360" w:lineRule="auto"/>
        <w:ind w:left="720"/>
        <w:jc w:val="both"/>
        <w:rPr>
          <w:rFonts w:ascii="Tahoma" w:eastAsia="Tahoma" w:hAnsi="Tahoma" w:cs="Tahoma"/>
          <w:sz w:val="22"/>
          <w:szCs w:val="22"/>
        </w:rPr>
      </w:pPr>
    </w:p>
    <w:p w:rsidR="00EA348E" w:rsidRPr="00EA348E" w:rsidRDefault="00EA348E" w:rsidP="00EA348E">
      <w:pPr>
        <w:numPr>
          <w:ilvl w:val="0"/>
          <w:numId w:val="1"/>
        </w:numPr>
        <w:spacing w:line="360" w:lineRule="auto"/>
        <w:jc w:val="both"/>
        <w:rPr>
          <w:rFonts w:ascii="Tahoma" w:eastAsia="Tahoma" w:hAnsi="Tahoma" w:cs="Tahoma"/>
          <w:sz w:val="22"/>
          <w:szCs w:val="22"/>
        </w:rPr>
      </w:pPr>
      <w:r w:rsidRPr="00EA348E">
        <w:rPr>
          <w:rFonts w:ascii="Tahoma" w:eastAsia="Tahoma" w:hAnsi="Tahoma" w:cs="Tahoma"/>
          <w:b/>
          <w:bCs/>
          <w:sz w:val="22"/>
          <w:szCs w:val="22"/>
        </w:rPr>
        <w:t>Desafios na Infraestrutura de Drenagem:</w:t>
      </w:r>
      <w:r w:rsidRPr="00EA348E">
        <w:rPr>
          <w:rFonts w:ascii="Tahoma" w:eastAsia="Tahoma" w:hAnsi="Tahoma" w:cs="Tahoma"/>
          <w:sz w:val="22"/>
          <w:szCs w:val="22"/>
        </w:rPr>
        <w:t xml:space="preserve"> A infraestrutura de drenagem, muitas vezes inadequada para lidar com o adensamento, é ainda mais sobrecarregada quando combinada com o aumento do nível do mar. Isso resulta em sistemas de drenagem ineficientes, contribuindo para </w:t>
      </w:r>
      <w:r w:rsidRPr="00EA348E">
        <w:rPr>
          <w:rFonts w:ascii="Tahoma" w:eastAsia="Tahoma" w:hAnsi="Tahoma" w:cs="Tahoma"/>
          <w:sz w:val="22"/>
          <w:szCs w:val="22"/>
        </w:rPr>
        <w:lastRenderedPageBreak/>
        <w:t>a formação de áreas propícias a inundações e alagamentos.</w:t>
      </w:r>
    </w:p>
    <w:p w:rsidR="00EA348E" w:rsidRPr="00EA348E" w:rsidRDefault="00EA348E" w:rsidP="00EA348E">
      <w:pPr>
        <w:numPr>
          <w:ilvl w:val="0"/>
          <w:numId w:val="1"/>
        </w:numPr>
        <w:spacing w:line="360" w:lineRule="auto"/>
        <w:jc w:val="both"/>
        <w:rPr>
          <w:rFonts w:ascii="Tahoma" w:eastAsia="Tahoma" w:hAnsi="Tahoma" w:cs="Tahoma"/>
          <w:sz w:val="22"/>
          <w:szCs w:val="22"/>
        </w:rPr>
      </w:pPr>
      <w:r w:rsidRPr="00EA348E">
        <w:rPr>
          <w:rFonts w:ascii="Tahoma" w:eastAsia="Tahoma" w:hAnsi="Tahoma" w:cs="Tahoma"/>
          <w:b/>
          <w:bCs/>
          <w:sz w:val="22"/>
          <w:szCs w:val="22"/>
        </w:rPr>
        <w:t>Riscos para a Saúde e Meio Ambiente:</w:t>
      </w:r>
      <w:r w:rsidRPr="00EA348E">
        <w:rPr>
          <w:rFonts w:ascii="Tahoma" w:eastAsia="Tahoma" w:hAnsi="Tahoma" w:cs="Tahoma"/>
          <w:sz w:val="22"/>
          <w:szCs w:val="22"/>
        </w:rPr>
        <w:t xml:space="preserve"> A verticalização em áreas costeiras aumenta a exposição das comunidades a riscos ambientais e de saúde, como a contaminação da água potável devido à intrusão salina. Isso cria um cenário de vulnerabilidade que se intensifica com o aumento do nível do mar.</w:t>
      </w:r>
    </w:p>
    <w:p w:rsidR="00EA348E" w:rsidRPr="00EA348E" w:rsidRDefault="00EA348E" w:rsidP="00EA348E">
      <w:pPr>
        <w:spacing w:line="360" w:lineRule="auto"/>
        <w:ind w:left="720"/>
        <w:jc w:val="both"/>
        <w:rPr>
          <w:rFonts w:ascii="Tahoma" w:eastAsia="Tahoma" w:hAnsi="Tahoma" w:cs="Tahoma"/>
          <w:sz w:val="22"/>
          <w:szCs w:val="22"/>
        </w:rPr>
      </w:pPr>
    </w:p>
    <w:p w:rsidR="00EA348E" w:rsidRPr="00EA348E" w:rsidRDefault="00EA348E" w:rsidP="00EA348E">
      <w:pPr>
        <w:spacing w:line="360" w:lineRule="auto"/>
        <w:ind w:firstLine="360"/>
        <w:jc w:val="both"/>
        <w:rPr>
          <w:rFonts w:ascii="Tahoma" w:eastAsia="Tahoma" w:hAnsi="Tahoma" w:cs="Tahoma"/>
          <w:sz w:val="22"/>
          <w:szCs w:val="22"/>
        </w:rPr>
      </w:pPr>
      <w:r w:rsidRPr="00EA348E">
        <w:rPr>
          <w:rFonts w:ascii="Tahoma" w:eastAsia="Tahoma" w:hAnsi="Tahoma" w:cs="Tahoma"/>
          <w:sz w:val="22"/>
          <w:szCs w:val="22"/>
        </w:rPr>
        <w:t>O adensamento e a verticalização urbanos em áreas propensas ao aumento do nível do mar representam uma combinação perigosa diante das mudanças climáticas. A necessidade de repensar estratégias de planejamento urbano, promover a resiliência das infraestruturas e considerar medidas sustentáveis torna-se crucial. O desafio reside não apenas em construir cidades mais altas, mas em construir cidades mais inteligentes e adaptáveis, capazes de enfrentar os desafios iminentes do aumento do nível do mar.</w:t>
      </w:r>
    </w:p>
    <w:p w:rsidR="00EA348E" w:rsidRDefault="00EA348E" w:rsidP="00EA348E">
      <w:pPr>
        <w:pBdr>
          <w:top w:val="none" w:sz="0" w:space="0" w:color="000000"/>
          <w:left w:val="none" w:sz="0" w:space="0" w:color="000000"/>
          <w:bottom w:val="none" w:sz="0" w:space="11" w:color="000000"/>
          <w:right w:val="none" w:sz="0" w:space="0" w:color="000000"/>
        </w:pBdr>
        <w:shd w:val="clear" w:color="auto" w:fill="FFFFFF"/>
        <w:spacing w:line="360" w:lineRule="auto"/>
        <w:ind w:right="-4" w:firstLine="720"/>
        <w:jc w:val="both"/>
        <w:rPr>
          <w:rFonts w:ascii="Tahoma" w:eastAsia="Tahoma" w:hAnsi="Tahoma" w:cs="Tahoma"/>
          <w:sz w:val="22"/>
          <w:szCs w:val="22"/>
        </w:rPr>
      </w:pPr>
      <w:r w:rsidRPr="00EA348E">
        <w:rPr>
          <w:rFonts w:ascii="Tahoma" w:eastAsia="Tahoma" w:hAnsi="Tahoma" w:cs="Tahoma"/>
          <w:sz w:val="22"/>
          <w:szCs w:val="22"/>
        </w:rPr>
        <w:t>Desta forma, visando dar ciência ao grande público a respeito de como o território municipal será ocupado e aliando questões econômicas e de conservação e proteção socioambiental, contamos com o apoio dos nobres pares na aprovação desta emenda.</w:t>
      </w:r>
    </w:p>
    <w:p w:rsidR="00EA348E" w:rsidRDefault="00393178" w:rsidP="00EA348E">
      <w:pPr>
        <w:pBdr>
          <w:top w:val="none" w:sz="0" w:space="0" w:color="000000"/>
          <w:left w:val="none" w:sz="0" w:space="0" w:color="000000"/>
          <w:bottom w:val="none" w:sz="0" w:space="11" w:color="000000"/>
          <w:right w:val="none" w:sz="0" w:space="0" w:color="000000"/>
        </w:pBdr>
        <w:shd w:val="clear" w:color="auto" w:fill="FFFFFF"/>
        <w:spacing w:line="360" w:lineRule="auto"/>
        <w:ind w:right="-4" w:firstLine="720"/>
        <w:jc w:val="both"/>
        <w:rPr>
          <w:rFonts w:ascii="Tahoma" w:eastAsia="Tahoma" w:hAnsi="Tahoma" w:cs="Tahoma"/>
          <w:sz w:val="22"/>
          <w:szCs w:val="22"/>
        </w:rPr>
      </w:pPr>
      <w:r w:rsidRPr="00EA348E">
        <w:rPr>
          <w:rFonts w:ascii="Tahoma" w:eastAsia="Tahoma" w:hAnsi="Tahoma" w:cs="Tahoma"/>
          <w:sz w:val="22"/>
          <w:szCs w:val="22"/>
        </w:rPr>
        <w:t>Assim, a presente emenda visa auxiliar na regulamentação das diretrizes estabelecidas no Plano Dir</w:t>
      </w:r>
      <w:r w:rsidR="00E201CA" w:rsidRPr="00EA348E">
        <w:rPr>
          <w:rFonts w:ascii="Tahoma" w:eastAsia="Tahoma" w:hAnsi="Tahoma" w:cs="Tahoma"/>
          <w:sz w:val="22"/>
          <w:szCs w:val="22"/>
        </w:rPr>
        <w:t xml:space="preserve">etor </w:t>
      </w:r>
      <w:r w:rsidRPr="00EA348E">
        <w:rPr>
          <w:rFonts w:ascii="Tahoma" w:eastAsia="Tahoma" w:hAnsi="Tahoma" w:cs="Tahoma"/>
          <w:sz w:val="22"/>
          <w:szCs w:val="22"/>
        </w:rPr>
        <w:t xml:space="preserve">de Niterói, no ordenamento e direcionamento da expansão urbana no Município, com a proteção da ambiência urbana e das áreas verdes, apontando pontos que precisam ser assegurados, buscando o </w:t>
      </w:r>
      <w:r w:rsidR="00D6557A" w:rsidRPr="00EA348E">
        <w:rPr>
          <w:rFonts w:ascii="Tahoma" w:eastAsia="Tahoma" w:hAnsi="Tahoma" w:cs="Tahoma"/>
          <w:sz w:val="22"/>
          <w:szCs w:val="22"/>
        </w:rPr>
        <w:t>melhor ordenamento</w:t>
      </w:r>
      <w:r w:rsidRPr="00EA348E">
        <w:rPr>
          <w:rFonts w:ascii="Tahoma" w:eastAsia="Tahoma" w:hAnsi="Tahoma" w:cs="Tahoma"/>
          <w:sz w:val="22"/>
          <w:szCs w:val="22"/>
        </w:rPr>
        <w:t xml:space="preserve"> e direcionamento da expansão urbana na cidade.</w:t>
      </w:r>
    </w:p>
    <w:p w:rsidR="00EA348E" w:rsidRDefault="00393178" w:rsidP="00EA348E">
      <w:pPr>
        <w:pBdr>
          <w:top w:val="none" w:sz="0" w:space="0" w:color="000000"/>
          <w:left w:val="none" w:sz="0" w:space="0" w:color="000000"/>
          <w:bottom w:val="none" w:sz="0" w:space="11" w:color="000000"/>
          <w:right w:val="none" w:sz="0" w:space="0" w:color="000000"/>
        </w:pBdr>
        <w:shd w:val="clear" w:color="auto" w:fill="FFFFFF"/>
        <w:spacing w:line="360" w:lineRule="auto"/>
        <w:ind w:right="-4" w:firstLine="720"/>
        <w:jc w:val="both"/>
        <w:rPr>
          <w:rFonts w:ascii="Tahoma" w:eastAsia="Tahoma" w:hAnsi="Tahoma" w:cs="Tahoma"/>
          <w:sz w:val="22"/>
          <w:szCs w:val="22"/>
        </w:rPr>
      </w:pPr>
      <w:r w:rsidRPr="00EA348E">
        <w:rPr>
          <w:rFonts w:ascii="Tahoma" w:eastAsia="Tahoma" w:hAnsi="Tahoma" w:cs="Tahoma"/>
          <w:sz w:val="22"/>
          <w:szCs w:val="22"/>
        </w:rPr>
        <w:t xml:space="preserve">O Município de Niterói deve ter um compromisso com as próximas gerações, entregando uma cidade economicamente mais desenvolvida, socialmente justa e ambientalmente preservada. </w:t>
      </w:r>
    </w:p>
    <w:p w:rsidR="00EF76D3" w:rsidRPr="00EA348E" w:rsidRDefault="00393178" w:rsidP="00EA348E">
      <w:pPr>
        <w:pBdr>
          <w:top w:val="none" w:sz="0" w:space="0" w:color="000000"/>
          <w:left w:val="none" w:sz="0" w:space="0" w:color="000000"/>
          <w:bottom w:val="none" w:sz="0" w:space="11" w:color="000000"/>
          <w:right w:val="none" w:sz="0" w:space="0" w:color="000000"/>
        </w:pBdr>
        <w:shd w:val="clear" w:color="auto" w:fill="FFFFFF"/>
        <w:spacing w:line="360" w:lineRule="auto"/>
        <w:ind w:right="-4" w:firstLine="720"/>
        <w:jc w:val="both"/>
        <w:rPr>
          <w:rFonts w:ascii="Tahoma" w:eastAsia="Tahoma" w:hAnsi="Tahoma" w:cs="Tahoma"/>
          <w:sz w:val="22"/>
          <w:szCs w:val="22"/>
        </w:rPr>
      </w:pPr>
      <w:r w:rsidRPr="00EA348E">
        <w:rPr>
          <w:rFonts w:ascii="Tahoma" w:eastAsia="Tahoma" w:hAnsi="Tahoma" w:cs="Tahoma"/>
          <w:sz w:val="22"/>
          <w:szCs w:val="22"/>
        </w:rPr>
        <w:t>Dessa forma, essa emenda se faz necessária, para resguardar fatores mínimos adequados na proteção da fauna e da flor</w:t>
      </w:r>
      <w:r w:rsidR="00D81AED" w:rsidRPr="00EA348E">
        <w:rPr>
          <w:rFonts w:ascii="Tahoma" w:eastAsia="Tahoma" w:hAnsi="Tahoma" w:cs="Tahoma"/>
          <w:sz w:val="22"/>
          <w:szCs w:val="22"/>
        </w:rPr>
        <w:t>a, assim conto com o apoio dos n</w:t>
      </w:r>
      <w:r w:rsidRPr="00EA348E">
        <w:rPr>
          <w:rFonts w:ascii="Tahoma" w:eastAsia="Tahoma" w:hAnsi="Tahoma" w:cs="Tahoma"/>
          <w:sz w:val="22"/>
          <w:szCs w:val="22"/>
        </w:rPr>
        <w:t xml:space="preserve">obres </w:t>
      </w:r>
      <w:r w:rsidR="00D81AED" w:rsidRPr="00EA348E">
        <w:rPr>
          <w:rFonts w:ascii="Tahoma" w:eastAsia="Tahoma" w:hAnsi="Tahoma" w:cs="Tahoma"/>
          <w:sz w:val="22"/>
          <w:szCs w:val="22"/>
        </w:rPr>
        <w:t>p</w:t>
      </w:r>
      <w:r w:rsidRPr="00EA348E">
        <w:rPr>
          <w:rFonts w:ascii="Tahoma" w:eastAsia="Tahoma" w:hAnsi="Tahoma" w:cs="Tahoma"/>
          <w:sz w:val="22"/>
          <w:szCs w:val="22"/>
        </w:rPr>
        <w:t>ares para aprovação da presente emenda.</w:t>
      </w:r>
    </w:p>
    <w:sectPr w:rsidR="00EF76D3" w:rsidRPr="00EA348E" w:rsidSect="002A13EC">
      <w:headerReference w:type="default" r:id="rId11"/>
      <w:footerReference w:type="default" r:id="rId12"/>
      <w:pgSz w:w="11905" w:h="16837"/>
      <w:pgMar w:top="1134" w:right="706" w:bottom="1134" w:left="1005"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7F04" w:rsidRDefault="00497F04">
      <w:r>
        <w:separator/>
      </w:r>
    </w:p>
  </w:endnote>
  <w:endnote w:type="continuationSeparator" w:id="0">
    <w:p w:rsidR="00497F04" w:rsidRDefault="00497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339" w:rsidRPr="00A74339" w:rsidRDefault="00A74339">
    <w:pPr>
      <w:pStyle w:val="Rodap"/>
      <w:rPr>
        <w:rFonts w:ascii="Tahoma" w:hAnsi="Tahoma" w:cs="Tahoma"/>
        <w:b/>
        <w:sz w:val="16"/>
        <w:szCs w:val="16"/>
      </w:rPr>
    </w:pPr>
    <w:r w:rsidRPr="00A74339">
      <w:rPr>
        <w:rFonts w:ascii="Tahoma" w:hAnsi="Tahoma" w:cs="Tahoma"/>
        <w:b/>
        <w:sz w:val="16"/>
        <w:szCs w:val="16"/>
      </w:rPr>
      <w:t xml:space="preserve">Ref. Emenda aditiva que </w:t>
    </w:r>
    <w:r w:rsidRPr="00A74339">
      <w:rPr>
        <w:rFonts w:ascii="Tahoma" w:eastAsia="Tahoma" w:hAnsi="Tahoma" w:cs="Tahoma"/>
        <w:b/>
        <w:sz w:val="16"/>
        <w:szCs w:val="16"/>
      </w:rPr>
      <w:t xml:space="preserve">Acrescenta </w:t>
    </w:r>
    <w:r w:rsidRPr="00EA348E">
      <w:rPr>
        <w:rFonts w:ascii="Tahoma" w:eastAsia="Tahoma" w:hAnsi="Tahoma" w:cs="Tahoma"/>
        <w:b/>
        <w:sz w:val="16"/>
        <w:szCs w:val="16"/>
      </w:rPr>
      <w:t xml:space="preserve">o </w:t>
    </w:r>
    <w:r w:rsidR="00EA348E" w:rsidRPr="00EA348E">
      <w:rPr>
        <w:rFonts w:ascii="Tahoma" w:eastAsia="Tahoma" w:hAnsi="Tahoma" w:cs="Tahoma"/>
        <w:b/>
        <w:sz w:val="16"/>
        <w:szCs w:val="16"/>
      </w:rPr>
      <w:t xml:space="preserve">§ 6º, ao Art. 014, e os mapas </w:t>
    </w:r>
    <w:proofErr w:type="gramStart"/>
    <w:r w:rsidR="00EA348E" w:rsidRPr="00EA348E">
      <w:rPr>
        <w:rFonts w:ascii="Tahoma" w:eastAsia="Tahoma" w:hAnsi="Tahoma" w:cs="Tahoma"/>
        <w:b/>
        <w:sz w:val="16"/>
        <w:szCs w:val="16"/>
      </w:rPr>
      <w:t>abaixo,</w:t>
    </w:r>
    <w:r w:rsidRPr="00EA348E">
      <w:rPr>
        <w:rFonts w:ascii="Tahoma" w:eastAsia="Tahoma" w:hAnsi="Tahoma" w:cs="Tahoma"/>
        <w:b/>
        <w:sz w:val="16"/>
        <w:szCs w:val="16"/>
      </w:rPr>
      <w:t>,</w:t>
    </w:r>
    <w:proofErr w:type="gramEnd"/>
    <w:r w:rsidRPr="00EA348E">
      <w:rPr>
        <w:rFonts w:ascii="Tahoma" w:eastAsia="Tahoma" w:hAnsi="Tahoma" w:cs="Tahoma"/>
        <w:b/>
        <w:sz w:val="16"/>
        <w:szCs w:val="16"/>
      </w:rPr>
      <w:t xml:space="preserve"> ao Projeto</w:t>
    </w:r>
    <w:r w:rsidRPr="00592941">
      <w:rPr>
        <w:rFonts w:ascii="Tahoma" w:eastAsia="Tahoma" w:hAnsi="Tahoma" w:cs="Tahoma"/>
        <w:b/>
        <w:sz w:val="16"/>
        <w:szCs w:val="16"/>
      </w:rPr>
      <w:t xml:space="preserve"> de Lei Nº 00221/2023</w:t>
    </w:r>
    <w:r w:rsidRPr="00BE2646">
      <w:rPr>
        <w:rFonts w:ascii="Tahoma" w:eastAsia="Tahoma" w:hAnsi="Tahoma" w:cs="Tahoma"/>
        <w:b/>
        <w:sz w:val="16"/>
        <w:szCs w:val="16"/>
      </w:rPr>
      <w:t>, lei urbanística de Niterói</w:t>
    </w:r>
    <w:r w:rsidRPr="00A74339">
      <w:rPr>
        <w:rFonts w:ascii="Tahoma" w:eastAsia="Tahoma" w:hAnsi="Tahoma" w:cs="Tahoma"/>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7F04" w:rsidRDefault="00497F04">
      <w:r>
        <w:separator/>
      </w:r>
    </w:p>
  </w:footnote>
  <w:footnote w:type="continuationSeparator" w:id="0">
    <w:p w:rsidR="00497F04" w:rsidRDefault="00497F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6D3" w:rsidRDefault="00EF76D3">
    <w:pPr>
      <w:pBdr>
        <w:top w:val="nil"/>
        <w:left w:val="nil"/>
        <w:bottom w:val="nil"/>
        <w:right w:val="nil"/>
        <w:between w:val="nil"/>
      </w:pBdr>
      <w:spacing w:line="276" w:lineRule="auto"/>
      <w:rPr>
        <w:rFonts w:ascii="Tahoma" w:eastAsia="Tahoma" w:hAnsi="Tahoma" w:cs="Tahoma"/>
        <w:sz w:val="22"/>
        <w:szCs w:val="22"/>
      </w:rPr>
    </w:pPr>
  </w:p>
  <w:tbl>
    <w:tblPr>
      <w:tblStyle w:val="a8"/>
      <w:tblW w:w="9648" w:type="dxa"/>
      <w:tblInd w:w="108" w:type="dxa"/>
      <w:tblLayout w:type="fixed"/>
      <w:tblLook w:val="0000" w:firstRow="0" w:lastRow="0" w:firstColumn="0" w:lastColumn="0" w:noHBand="0" w:noVBand="0"/>
    </w:tblPr>
    <w:tblGrid>
      <w:gridCol w:w="1728"/>
      <w:gridCol w:w="7920"/>
    </w:tblGrid>
    <w:tr w:rsidR="00EF76D3">
      <w:trPr>
        <w:trHeight w:val="1971"/>
      </w:trPr>
      <w:tc>
        <w:tcPr>
          <w:tcW w:w="1728" w:type="dxa"/>
        </w:tcPr>
        <w:p w:rsidR="00EF76D3" w:rsidRDefault="00393178">
          <w:pPr>
            <w:pBdr>
              <w:top w:val="nil"/>
              <w:left w:val="nil"/>
              <w:bottom w:val="nil"/>
              <w:right w:val="nil"/>
              <w:between w:val="nil"/>
            </w:pBdr>
            <w:tabs>
              <w:tab w:val="center" w:pos="4252"/>
              <w:tab w:val="right" w:pos="8504"/>
            </w:tabs>
            <w:rPr>
              <w:rFonts w:ascii="Arial" w:eastAsia="Arial" w:hAnsi="Arial" w:cs="Arial"/>
              <w:color w:val="000000"/>
            </w:rPr>
          </w:pPr>
          <w:r>
            <w:rPr>
              <w:rFonts w:eastAsia="Times New Roman"/>
              <w:noProof/>
              <w:color w:val="000000"/>
              <w:lang w:eastAsia="pt-BR"/>
            </w:rPr>
            <w:drawing>
              <wp:inline distT="0" distB="0" distL="0" distR="0">
                <wp:extent cx="933450" cy="112395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33450" cy="1123950"/>
                        </a:xfrm>
                        <a:prstGeom prst="rect">
                          <a:avLst/>
                        </a:prstGeom>
                        <a:ln/>
                      </pic:spPr>
                    </pic:pic>
                  </a:graphicData>
                </a:graphic>
              </wp:inline>
            </w:drawing>
          </w:r>
        </w:p>
      </w:tc>
      <w:tc>
        <w:tcPr>
          <w:tcW w:w="7920" w:type="dxa"/>
        </w:tcPr>
        <w:p w:rsidR="00EF76D3" w:rsidRDefault="00EF76D3">
          <w:pPr>
            <w:pBdr>
              <w:top w:val="nil"/>
              <w:left w:val="nil"/>
              <w:bottom w:val="nil"/>
              <w:right w:val="nil"/>
              <w:between w:val="nil"/>
            </w:pBdr>
            <w:tabs>
              <w:tab w:val="center" w:pos="4252"/>
              <w:tab w:val="right" w:pos="8504"/>
            </w:tabs>
            <w:rPr>
              <w:rFonts w:ascii="Arial" w:eastAsia="Arial" w:hAnsi="Arial" w:cs="Arial"/>
              <w:color w:val="000000"/>
            </w:rPr>
          </w:pPr>
        </w:p>
        <w:p w:rsidR="00EF76D3" w:rsidRDefault="00EF76D3">
          <w:pPr>
            <w:pBdr>
              <w:top w:val="nil"/>
              <w:left w:val="nil"/>
              <w:bottom w:val="nil"/>
              <w:right w:val="nil"/>
              <w:between w:val="nil"/>
            </w:pBdr>
            <w:tabs>
              <w:tab w:val="center" w:pos="4252"/>
              <w:tab w:val="right" w:pos="8504"/>
            </w:tabs>
            <w:rPr>
              <w:rFonts w:ascii="Arial" w:eastAsia="Arial" w:hAnsi="Arial" w:cs="Arial"/>
              <w:color w:val="000000"/>
            </w:rPr>
          </w:pPr>
        </w:p>
        <w:p w:rsidR="00EF76D3" w:rsidRDefault="00393178">
          <w:pPr>
            <w:pBdr>
              <w:top w:val="nil"/>
              <w:left w:val="nil"/>
              <w:bottom w:val="nil"/>
              <w:right w:val="nil"/>
              <w:between w:val="nil"/>
            </w:pBdr>
            <w:tabs>
              <w:tab w:val="center" w:pos="4252"/>
              <w:tab w:val="right" w:pos="8504"/>
            </w:tabs>
            <w:jc w:val="center"/>
            <w:rPr>
              <w:rFonts w:ascii="Tahoma" w:eastAsia="Tahoma" w:hAnsi="Tahoma" w:cs="Tahoma"/>
              <w:b/>
              <w:color w:val="000000"/>
              <w:sz w:val="48"/>
              <w:szCs w:val="48"/>
            </w:rPr>
          </w:pPr>
          <w:r>
            <w:rPr>
              <w:rFonts w:ascii="Tahoma" w:eastAsia="Tahoma" w:hAnsi="Tahoma" w:cs="Tahoma"/>
              <w:b/>
              <w:color w:val="000000"/>
              <w:sz w:val="48"/>
              <w:szCs w:val="48"/>
            </w:rPr>
            <w:t>Câmara Municipal de Niterói</w:t>
          </w:r>
        </w:p>
        <w:p w:rsidR="00EF76D3" w:rsidRDefault="00EF76D3">
          <w:pPr>
            <w:pBdr>
              <w:top w:val="nil"/>
              <w:left w:val="nil"/>
              <w:bottom w:val="nil"/>
              <w:right w:val="nil"/>
              <w:between w:val="nil"/>
            </w:pBdr>
            <w:tabs>
              <w:tab w:val="center" w:pos="4252"/>
              <w:tab w:val="right" w:pos="8504"/>
            </w:tabs>
            <w:jc w:val="center"/>
            <w:rPr>
              <w:rFonts w:ascii="Tahoma" w:eastAsia="Tahoma" w:hAnsi="Tahoma" w:cs="Tahoma"/>
              <w:color w:val="000000"/>
              <w:sz w:val="4"/>
              <w:szCs w:val="4"/>
            </w:rPr>
          </w:pPr>
        </w:p>
        <w:p w:rsidR="00EF76D3" w:rsidRDefault="00425313" w:rsidP="003D5998">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r>
            <w:rPr>
              <w:rFonts w:ascii="Tahoma" w:eastAsia="Tahoma" w:hAnsi="Tahoma" w:cs="Tahoma"/>
              <w:b/>
              <w:sz w:val="20"/>
              <w:szCs w:val="20"/>
            </w:rPr>
            <w:t>MESA DIRETORA</w:t>
          </w:r>
        </w:p>
      </w:tc>
    </w:tr>
  </w:tbl>
  <w:p w:rsidR="00EF76D3" w:rsidRDefault="00EF76D3">
    <w:pPr>
      <w:pBdr>
        <w:top w:val="nil"/>
        <w:left w:val="nil"/>
        <w:bottom w:val="nil"/>
        <w:right w:val="nil"/>
        <w:between w:val="nil"/>
      </w:pBdr>
      <w:tabs>
        <w:tab w:val="center" w:pos="4252"/>
        <w:tab w:val="right" w:pos="8504"/>
      </w:tabs>
      <w:rPr>
        <w:rFonts w:eastAsia="Times New Roman"/>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C3136E"/>
    <w:multiLevelType w:val="multilevel"/>
    <w:tmpl w:val="113ED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6D3"/>
    <w:rsid w:val="00057622"/>
    <w:rsid w:val="00097F22"/>
    <w:rsid w:val="001073AE"/>
    <w:rsid w:val="002A13EC"/>
    <w:rsid w:val="00393178"/>
    <w:rsid w:val="003D5998"/>
    <w:rsid w:val="003E5D1D"/>
    <w:rsid w:val="00425313"/>
    <w:rsid w:val="00497F04"/>
    <w:rsid w:val="004B66D5"/>
    <w:rsid w:val="00532075"/>
    <w:rsid w:val="00592941"/>
    <w:rsid w:val="005E3386"/>
    <w:rsid w:val="00615632"/>
    <w:rsid w:val="007047DA"/>
    <w:rsid w:val="0072186D"/>
    <w:rsid w:val="00737B08"/>
    <w:rsid w:val="00883C3C"/>
    <w:rsid w:val="008B3570"/>
    <w:rsid w:val="0096410E"/>
    <w:rsid w:val="00A74339"/>
    <w:rsid w:val="00B0788D"/>
    <w:rsid w:val="00B87961"/>
    <w:rsid w:val="00B90909"/>
    <w:rsid w:val="00BE2646"/>
    <w:rsid w:val="00CA577F"/>
    <w:rsid w:val="00CD3640"/>
    <w:rsid w:val="00D6557A"/>
    <w:rsid w:val="00D81AED"/>
    <w:rsid w:val="00E0429C"/>
    <w:rsid w:val="00E201CA"/>
    <w:rsid w:val="00EA348E"/>
    <w:rsid w:val="00EF76D3"/>
    <w:rsid w:val="00F634A4"/>
    <w:rsid w:val="00F74F69"/>
    <w:rsid w:val="00FC168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83227DB-9A8D-47BF-8659-396DDD7D2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7981"/>
    <w:pPr>
      <w:suppressAutoHyphens/>
    </w:pPr>
    <w:rPr>
      <w:rFonts w:eastAsia="Lucida Sans Unicode"/>
      <w:kern w:val="1"/>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2">
    <w:name w:val="heading 2"/>
    <w:basedOn w:val="Normal"/>
    <w:next w:val="Normal"/>
    <w:rsid w:val="002A13EC"/>
    <w:pPr>
      <w:keepNext/>
      <w:keepLines/>
      <w:spacing w:before="360" w:after="80"/>
      <w:outlineLvl w:val="1"/>
    </w:pPr>
    <w:rPr>
      <w:b/>
      <w:sz w:val="36"/>
      <w:szCs w:val="36"/>
    </w:rPr>
  </w:style>
  <w:style w:type="paragraph" w:styleId="Ttulo3">
    <w:name w:val="heading 3"/>
    <w:basedOn w:val="Normal"/>
    <w:next w:val="Normal"/>
    <w:rsid w:val="002A13EC"/>
    <w:pPr>
      <w:keepNext/>
      <w:keepLines/>
      <w:spacing w:before="280" w:after="80"/>
      <w:outlineLvl w:val="2"/>
    </w:pPr>
    <w:rPr>
      <w:b/>
      <w:sz w:val="28"/>
      <w:szCs w:val="28"/>
    </w:rPr>
  </w:style>
  <w:style w:type="paragraph" w:styleId="Ttulo4">
    <w:name w:val="heading 4"/>
    <w:basedOn w:val="Normal"/>
    <w:next w:val="Normal"/>
    <w:rsid w:val="002A13EC"/>
    <w:pPr>
      <w:keepNext/>
      <w:keepLines/>
      <w:spacing w:before="240" w:after="40"/>
      <w:outlineLvl w:val="3"/>
    </w:pPr>
    <w:rPr>
      <w:b/>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paragraph" w:styleId="Ttulo6">
    <w:name w:val="heading 6"/>
    <w:basedOn w:val="Normal"/>
    <w:next w:val="Normal"/>
    <w:rsid w:val="002A13EC"/>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2A13EC"/>
    <w:tblPr>
      <w:tblCellMar>
        <w:top w:w="0" w:type="dxa"/>
        <w:left w:w="0" w:type="dxa"/>
        <w:bottom w:w="0" w:type="dxa"/>
        <w:right w:w="0" w:type="dxa"/>
      </w:tblCellMar>
    </w:tblPr>
  </w:style>
  <w:style w:type="paragraph" w:styleId="Ttulo">
    <w:name w:val="Title"/>
    <w:basedOn w:val="Normal"/>
    <w:next w:val="Normal"/>
    <w:rsid w:val="002A13EC"/>
    <w:pPr>
      <w:keepNext/>
      <w:keepLines/>
      <w:spacing w:before="480" w:after="120"/>
    </w:pPr>
    <w:rPr>
      <w:b/>
      <w:sz w:val="72"/>
      <w:szCs w:val="72"/>
    </w:rPr>
  </w:style>
  <w:style w:type="table" w:customStyle="1" w:styleId="TableNormal0">
    <w:name w:val="Table Normal"/>
    <w:rsid w:val="002A13EC"/>
    <w:tblPr>
      <w:tblCellMar>
        <w:top w:w="0" w:type="dxa"/>
        <w:left w:w="0" w:type="dxa"/>
        <w:bottom w:w="0" w:type="dxa"/>
        <w:right w:w="0" w:type="dxa"/>
      </w:tblCellMar>
    </w:tblPr>
  </w:style>
  <w:style w:type="table" w:customStyle="1" w:styleId="TableNormal1">
    <w:name w:val="Table Normal"/>
    <w:rsid w:val="002A13EC"/>
    <w:tblPr>
      <w:tblCellMar>
        <w:top w:w="0" w:type="dxa"/>
        <w:left w:w="0" w:type="dxa"/>
        <w:bottom w:w="0" w:type="dxa"/>
        <w:right w:w="0" w:type="dxa"/>
      </w:tblCellMar>
    </w:tblPr>
  </w:style>
  <w:style w:type="table" w:customStyle="1" w:styleId="TableNormal2">
    <w:name w:val="Table Normal"/>
    <w:rsid w:val="002A13EC"/>
    <w:tblPr>
      <w:tblCellMar>
        <w:top w:w="0" w:type="dxa"/>
        <w:left w:w="0" w:type="dxa"/>
        <w:bottom w:w="0" w:type="dxa"/>
        <w:right w:w="0" w:type="dxa"/>
      </w:tblCellMar>
    </w:tblPr>
  </w:style>
  <w:style w:type="table" w:customStyle="1" w:styleId="TableNormal3">
    <w:name w:val="Table Normal"/>
    <w:rsid w:val="002A13EC"/>
    <w:tblPr>
      <w:tblCellMar>
        <w:top w:w="0" w:type="dxa"/>
        <w:left w:w="0" w:type="dxa"/>
        <w:bottom w:w="0" w:type="dxa"/>
        <w:right w:w="0" w:type="dxa"/>
      </w:tblCellMar>
    </w:tblPr>
  </w:style>
  <w:style w:type="table" w:customStyle="1" w:styleId="TableNormal4">
    <w:name w:val="Table Normal"/>
    <w:rsid w:val="002A13EC"/>
    <w:tblPr>
      <w:tblCellMar>
        <w:top w:w="0" w:type="dxa"/>
        <w:left w:w="0" w:type="dxa"/>
        <w:bottom w:w="0" w:type="dxa"/>
        <w:right w:w="0" w:type="dxa"/>
      </w:tblCellMar>
    </w:tblPr>
  </w:style>
  <w:style w:type="table" w:customStyle="1" w:styleId="TableNormal5">
    <w:name w:val="Table Normal"/>
    <w:rsid w:val="002A13EC"/>
    <w:tblPr>
      <w:tblCellMar>
        <w:top w:w="0" w:type="dxa"/>
        <w:left w:w="0" w:type="dxa"/>
        <w:bottom w:w="0" w:type="dxa"/>
        <w:right w:w="0" w:type="dxa"/>
      </w:tblCellMar>
    </w:tblPr>
  </w:style>
  <w:style w:type="table" w:customStyle="1" w:styleId="TableNormal6">
    <w:name w:val="Table Normal"/>
    <w:rsid w:val="002A13EC"/>
    <w:tblPr>
      <w:tblCellMar>
        <w:top w:w="0" w:type="dxa"/>
        <w:left w:w="0" w:type="dxa"/>
        <w:bottom w:w="0" w:type="dxa"/>
        <w:right w:w="0" w:type="dxa"/>
      </w:tblCellMar>
    </w:tblPr>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0">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0">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
    <w:name w:val="Normal1"/>
    <w:basedOn w:val="Normal"/>
    <w:rsid w:val="00427981"/>
    <w:rPr>
      <w:b/>
      <w:i/>
      <w:sz w:val="32"/>
      <w:szCs w:val="20"/>
    </w:rPr>
  </w:style>
  <w:style w:type="paragraph" w:customStyle="1" w:styleId="Legenda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a1">
    <w:name w:val="Data1"/>
    <w:basedOn w:val="Fontepargpadro"/>
    <w:rsid w:val="00C046F9"/>
  </w:style>
  <w:style w:type="character" w:customStyle="1" w:styleId="meta-reading-time">
    <w:name w:val="meta-reading-time"/>
    <w:basedOn w:val="Fontepargpadro"/>
    <w:rsid w:val="00C046F9"/>
  </w:style>
  <w:style w:type="paragraph" w:styleId="Subttulo">
    <w:name w:val="Subtitle"/>
    <w:basedOn w:val="Normal"/>
    <w:next w:val="Normal"/>
    <w:rsid w:val="002A13EC"/>
    <w:pPr>
      <w:keepNext/>
      <w:keepLines/>
      <w:spacing w:before="360" w:after="80"/>
    </w:pPr>
    <w:rPr>
      <w:rFonts w:ascii="Georgia" w:eastAsia="Georgia" w:hAnsi="Georgia" w:cs="Georgia"/>
      <w:i/>
      <w:color w:val="666666"/>
      <w:sz w:val="48"/>
      <w:szCs w:val="48"/>
    </w:rPr>
  </w:style>
  <w:style w:type="table" w:customStyle="1" w:styleId="a">
    <w:basedOn w:val="TableNormal6"/>
    <w:rsid w:val="002A13EC"/>
    <w:tblPr>
      <w:tblStyleRowBandSize w:val="1"/>
      <w:tblStyleColBandSize w:val="1"/>
      <w:tblCellMar>
        <w:top w:w="0" w:type="dxa"/>
        <w:left w:w="115" w:type="dxa"/>
        <w:bottom w:w="0" w:type="dxa"/>
        <w:right w:w="115" w:type="dxa"/>
      </w:tblCellMar>
    </w:tblPr>
  </w:style>
  <w:style w:type="table" w:customStyle="1" w:styleId="a0">
    <w:basedOn w:val="TableNormal6"/>
    <w:rsid w:val="002A13EC"/>
    <w:tblPr>
      <w:tblStyleRowBandSize w:val="1"/>
      <w:tblStyleColBandSize w:val="1"/>
      <w:tblCellMar>
        <w:top w:w="0" w:type="dxa"/>
        <w:left w:w="115" w:type="dxa"/>
        <w:bottom w:w="0" w:type="dxa"/>
        <w:right w:w="115" w:type="dxa"/>
      </w:tblCellMar>
    </w:tblPr>
  </w:style>
  <w:style w:type="table" w:customStyle="1" w:styleId="a1">
    <w:basedOn w:val="TableNormal6"/>
    <w:rsid w:val="002A13EC"/>
    <w:tblPr>
      <w:tblStyleRowBandSize w:val="1"/>
      <w:tblStyleColBandSize w:val="1"/>
      <w:tblCellMar>
        <w:top w:w="0" w:type="dxa"/>
        <w:left w:w="115" w:type="dxa"/>
        <w:bottom w:w="0" w:type="dxa"/>
        <w:right w:w="115" w:type="dxa"/>
      </w:tblCellMar>
    </w:tblPr>
  </w:style>
  <w:style w:type="table" w:customStyle="1" w:styleId="a2">
    <w:basedOn w:val="TableNormal6"/>
    <w:rsid w:val="002A13EC"/>
    <w:tblPr>
      <w:tblStyleRowBandSize w:val="1"/>
      <w:tblStyleColBandSize w:val="1"/>
      <w:tblCellMar>
        <w:top w:w="100" w:type="dxa"/>
        <w:left w:w="100" w:type="dxa"/>
        <w:bottom w:w="100" w:type="dxa"/>
        <w:right w:w="100" w:type="dxa"/>
      </w:tblCellMar>
    </w:tblPr>
  </w:style>
  <w:style w:type="table" w:customStyle="1" w:styleId="a3">
    <w:basedOn w:val="TableNormal6"/>
    <w:rsid w:val="002A13EC"/>
    <w:tblPr>
      <w:tblStyleRowBandSize w:val="1"/>
      <w:tblStyleColBandSize w:val="1"/>
      <w:tblCellMar>
        <w:top w:w="100" w:type="dxa"/>
        <w:left w:w="100" w:type="dxa"/>
        <w:bottom w:w="100" w:type="dxa"/>
        <w:right w:w="100" w:type="dxa"/>
      </w:tblCellMar>
    </w:tblPr>
  </w:style>
  <w:style w:type="table" w:customStyle="1" w:styleId="a4">
    <w:basedOn w:val="TableNormal6"/>
    <w:rsid w:val="002A13EC"/>
    <w:tblPr>
      <w:tblStyleRowBandSize w:val="1"/>
      <w:tblStyleColBandSize w:val="1"/>
      <w:tblCellMar>
        <w:top w:w="0" w:type="dxa"/>
        <w:left w:w="115" w:type="dxa"/>
        <w:bottom w:w="0" w:type="dxa"/>
        <w:right w:w="115" w:type="dxa"/>
      </w:tblCellMar>
    </w:tblPr>
  </w:style>
  <w:style w:type="table" w:customStyle="1" w:styleId="a5">
    <w:basedOn w:val="TableNormal6"/>
    <w:rsid w:val="002A13EC"/>
    <w:tblPr>
      <w:tblStyleRowBandSize w:val="1"/>
      <w:tblStyleColBandSize w:val="1"/>
      <w:tblCellMar>
        <w:top w:w="0" w:type="dxa"/>
        <w:left w:w="115" w:type="dxa"/>
        <w:bottom w:w="0" w:type="dxa"/>
        <w:right w:w="115" w:type="dxa"/>
      </w:tblCellMar>
    </w:tblPr>
  </w:style>
  <w:style w:type="table" w:customStyle="1" w:styleId="a6">
    <w:basedOn w:val="TableNormal6"/>
    <w:rsid w:val="002A13EC"/>
    <w:tblPr>
      <w:tblStyleRowBandSize w:val="1"/>
      <w:tblStyleColBandSize w:val="1"/>
      <w:tblCellMar>
        <w:top w:w="0" w:type="dxa"/>
        <w:left w:w="115" w:type="dxa"/>
        <w:bottom w:w="0" w:type="dxa"/>
        <w:right w:w="115" w:type="dxa"/>
      </w:tblCellMar>
    </w:tblPr>
  </w:style>
  <w:style w:type="table" w:customStyle="1" w:styleId="a7">
    <w:basedOn w:val="TableNormal6"/>
    <w:rsid w:val="002A13EC"/>
    <w:tblPr>
      <w:tblStyleRowBandSize w:val="1"/>
      <w:tblStyleColBandSize w:val="1"/>
      <w:tblCellMar>
        <w:top w:w="0" w:type="dxa"/>
        <w:left w:w="115" w:type="dxa"/>
        <w:bottom w:w="0" w:type="dxa"/>
        <w:right w:w="115" w:type="dxa"/>
      </w:tblCellMar>
    </w:tblPr>
  </w:style>
  <w:style w:type="table" w:customStyle="1" w:styleId="a8">
    <w:basedOn w:val="TableNormal6"/>
    <w:rsid w:val="002A13EC"/>
    <w:tblPr>
      <w:tblStyleRowBandSize w:val="1"/>
      <w:tblStyleColBandSize w:val="1"/>
      <w:tblCellMar>
        <w:top w:w="0" w:type="dxa"/>
        <w:left w:w="115" w:type="dxa"/>
        <w:bottom w:w="0" w:type="dxa"/>
        <w:right w:w="115" w:type="dxa"/>
      </w:tblCellMar>
    </w:tblPr>
  </w:style>
  <w:style w:type="paragraph" w:styleId="SemEspaamento">
    <w:name w:val="No Spacing"/>
    <w:link w:val="SemEspaamentoChar"/>
    <w:uiPriority w:val="1"/>
    <w:qFormat/>
    <w:rsid w:val="00CD3640"/>
    <w:pPr>
      <w:widowControl/>
    </w:pPr>
    <w:rPr>
      <w:rFonts w:asciiTheme="minorHAnsi" w:eastAsiaTheme="minorHAnsi" w:hAnsiTheme="minorHAnsi" w:cstheme="minorBidi"/>
      <w:sz w:val="22"/>
      <w:szCs w:val="22"/>
      <w:lang w:eastAsia="en-US"/>
    </w:rPr>
  </w:style>
  <w:style w:type="character" w:customStyle="1" w:styleId="SemEspaamentoChar">
    <w:name w:val="Sem Espaçamento Char"/>
    <w:basedOn w:val="Fontepargpadro"/>
    <w:link w:val="SemEspaamento"/>
    <w:uiPriority w:val="1"/>
    <w:rsid w:val="00CD3640"/>
    <w:rPr>
      <w:rFonts w:asciiTheme="minorHAnsi" w:eastAsiaTheme="minorHAnsi" w:hAnsiTheme="minorHAnsi" w:cstheme="minorBidi"/>
      <w:sz w:val="22"/>
      <w:szCs w:val="22"/>
      <w:lang w:eastAsia="en-US"/>
    </w:rPr>
  </w:style>
  <w:style w:type="character" w:styleId="Forte">
    <w:name w:val="Strong"/>
    <w:basedOn w:val="Fontepargpadro"/>
    <w:uiPriority w:val="22"/>
    <w:qFormat/>
    <w:rsid w:val="005929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mdpi.com/2673-964X/3/3/13" TargetMode="External"/><Relationship Id="rId4" Type="http://schemas.openxmlformats.org/officeDocument/2006/relationships/settings" Target="settings.xml"/><Relationship Id="rId9" Type="http://schemas.microsoft.com/office/2007/relationships/hdphoto" Target="NUL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64efFok6mIg50lFEVQjgeG8mw==">AMUW2mXqEczbe1WKCc1XHMfpAnxMo62v8B3WJgNzVay98GCso2aC7endiZQA0gb3ePk40PzyeAFH3pJ66r0sMppuvjO8U9YkZzFW6N0PuFVMK1CkieW6Cdc=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902</Words>
  <Characters>4877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Claudio</cp:lastModifiedBy>
  <cp:revision>2</cp:revision>
  <cp:lastPrinted>2024-03-05T17:35:00Z</cp:lastPrinted>
  <dcterms:created xsi:type="dcterms:W3CDTF">2024-03-05T17:38:00Z</dcterms:created>
  <dcterms:modified xsi:type="dcterms:W3CDTF">2024-03-05T17:38:00Z</dcterms:modified>
</cp:coreProperties>
</file>