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F76D3" w:rsidRDefault="00057622">
      <w:pPr>
        <w:keepNext/>
        <w:pBdr>
          <w:top w:val="nil"/>
          <w:left w:val="nil"/>
          <w:bottom w:val="nil"/>
          <w:right w:val="nil"/>
          <w:between w:val="nil"/>
        </w:pBdr>
        <w:tabs>
          <w:tab w:val="left" w:pos="3397"/>
          <w:tab w:val="left" w:pos="13460"/>
          <w:tab w:val="left" w:pos="3397"/>
          <w:tab w:val="left" w:pos="13460"/>
          <w:tab w:val="left" w:pos="1133"/>
          <w:tab w:val="center" w:pos="4818"/>
          <w:tab w:val="left" w:pos="11196"/>
        </w:tabs>
        <w:jc w:val="center"/>
        <w:rPr>
          <w:rFonts w:ascii="Tahoma" w:eastAsia="Tahoma" w:hAnsi="Tahoma" w:cs="Tahoma"/>
          <w:b/>
          <w:color w:val="000000"/>
        </w:rPr>
      </w:pPr>
      <w:r>
        <w:rPr>
          <w:rFonts w:ascii="Tahoma" w:eastAsia="Tahoma" w:hAnsi="Tahoma" w:cs="Tahoma"/>
          <w:b/>
          <w:color w:val="000000"/>
        </w:rPr>
        <w:t>Emenda Nº      /2023</w:t>
      </w:r>
    </w:p>
    <w:p w:rsidR="00EF76D3" w:rsidRDefault="00EF76D3">
      <w:pPr>
        <w:rPr>
          <w:rFonts w:ascii="Tahoma" w:eastAsia="Tahoma" w:hAnsi="Tahoma" w:cs="Tahoma"/>
          <w:b/>
        </w:rPr>
      </w:pPr>
    </w:p>
    <w:p w:rsidR="00EF76D3" w:rsidRDefault="00393178">
      <w:pPr>
        <w:keepNext/>
        <w:pBdr>
          <w:top w:val="nil"/>
          <w:left w:val="nil"/>
          <w:bottom w:val="nil"/>
          <w:right w:val="nil"/>
          <w:between w:val="nil"/>
        </w:pBdr>
        <w:tabs>
          <w:tab w:val="left" w:pos="3397"/>
          <w:tab w:val="left" w:pos="13460"/>
          <w:tab w:val="left" w:pos="3397"/>
          <w:tab w:val="left" w:pos="13460"/>
        </w:tabs>
        <w:jc w:val="center"/>
        <w:rPr>
          <w:rFonts w:ascii="Tahoma" w:eastAsia="Tahoma" w:hAnsi="Tahoma" w:cs="Tahoma"/>
          <w:b/>
          <w:color w:val="000000"/>
        </w:rPr>
      </w:pPr>
      <w:r>
        <w:rPr>
          <w:rFonts w:ascii="Tahoma" w:eastAsia="Tahoma" w:hAnsi="Tahoma" w:cs="Tahoma"/>
          <w:b/>
          <w:color w:val="000000"/>
        </w:rPr>
        <w:t xml:space="preserve">Aditiva ao Projeto de Lei Nº. </w:t>
      </w:r>
      <w:r w:rsidR="003D5998">
        <w:rPr>
          <w:rFonts w:ascii="Tahoma" w:eastAsia="Tahoma" w:hAnsi="Tahoma" w:cs="Tahoma"/>
          <w:b/>
          <w:color w:val="000000"/>
        </w:rPr>
        <w:t>221</w:t>
      </w:r>
      <w:r>
        <w:rPr>
          <w:rFonts w:ascii="Tahoma" w:eastAsia="Tahoma" w:hAnsi="Tahoma" w:cs="Tahoma"/>
          <w:b/>
          <w:color w:val="000000"/>
        </w:rPr>
        <w:t>/202</w:t>
      </w:r>
      <w:r w:rsidR="003D5998">
        <w:rPr>
          <w:rFonts w:ascii="Tahoma" w:eastAsia="Tahoma" w:hAnsi="Tahoma" w:cs="Tahoma"/>
          <w:b/>
          <w:color w:val="000000"/>
        </w:rPr>
        <w:t>3</w:t>
      </w:r>
    </w:p>
    <w:p w:rsidR="00EF76D3" w:rsidRDefault="00EF76D3">
      <w:pPr>
        <w:ind w:left="6315"/>
        <w:jc w:val="both"/>
        <w:rPr>
          <w:rFonts w:ascii="Tahoma" w:eastAsia="Tahoma" w:hAnsi="Tahoma" w:cs="Tahoma"/>
        </w:rPr>
      </w:pPr>
    </w:p>
    <w:p w:rsidR="00EF76D3" w:rsidRDefault="00EF76D3">
      <w:pPr>
        <w:ind w:left="6315"/>
        <w:jc w:val="both"/>
        <w:rPr>
          <w:rFonts w:ascii="Tahoma" w:eastAsia="Tahoma" w:hAnsi="Tahoma" w:cs="Tahoma"/>
          <w:color w:val="000000"/>
        </w:rPr>
      </w:pPr>
    </w:p>
    <w:p w:rsidR="00EF76D3" w:rsidRDefault="00393178">
      <w:pPr>
        <w:spacing w:line="360" w:lineRule="auto"/>
        <w:ind w:left="5103"/>
        <w:jc w:val="both"/>
        <w:rPr>
          <w:rFonts w:ascii="Tahoma" w:eastAsia="Tahoma" w:hAnsi="Tahoma" w:cs="Tahoma"/>
          <w:color w:val="000000"/>
          <w:sz w:val="22"/>
          <w:szCs w:val="22"/>
          <w:highlight w:val="white"/>
        </w:rPr>
      </w:pPr>
      <w:r>
        <w:rPr>
          <w:rFonts w:ascii="Tahoma" w:eastAsia="Tahoma" w:hAnsi="Tahoma" w:cs="Tahoma"/>
          <w:sz w:val="22"/>
          <w:szCs w:val="22"/>
        </w:rPr>
        <w:t>Acrescenta-se o</w:t>
      </w:r>
      <w:r>
        <w:rPr>
          <w:rFonts w:ascii="Tahoma" w:eastAsia="Tahoma" w:hAnsi="Tahoma" w:cs="Tahoma"/>
          <w:b/>
          <w:sz w:val="22"/>
          <w:szCs w:val="22"/>
        </w:rPr>
        <w:t xml:space="preserve"> § </w:t>
      </w:r>
      <w:r w:rsidR="00592941">
        <w:rPr>
          <w:rFonts w:ascii="Tahoma" w:eastAsia="Tahoma" w:hAnsi="Tahoma" w:cs="Tahoma"/>
          <w:b/>
          <w:sz w:val="22"/>
          <w:szCs w:val="22"/>
        </w:rPr>
        <w:t>6</w:t>
      </w:r>
      <w:r>
        <w:rPr>
          <w:rFonts w:ascii="Tahoma" w:eastAsia="Tahoma" w:hAnsi="Tahoma" w:cs="Tahoma"/>
          <w:b/>
          <w:sz w:val="22"/>
          <w:szCs w:val="22"/>
        </w:rPr>
        <w:t xml:space="preserve">º, ao Art. </w:t>
      </w:r>
      <w:r w:rsidR="00592941">
        <w:rPr>
          <w:rFonts w:ascii="Tahoma" w:eastAsia="Tahoma" w:hAnsi="Tahoma" w:cs="Tahoma"/>
          <w:b/>
          <w:sz w:val="22"/>
          <w:szCs w:val="22"/>
        </w:rPr>
        <w:t>226</w:t>
      </w:r>
      <w:r w:rsidRPr="00BE2646">
        <w:rPr>
          <w:rFonts w:ascii="Tahoma" w:eastAsia="Tahoma" w:hAnsi="Tahoma" w:cs="Tahoma"/>
          <w:b/>
          <w:sz w:val="22"/>
          <w:szCs w:val="22"/>
        </w:rPr>
        <w:t xml:space="preserve">, </w:t>
      </w:r>
      <w:r w:rsidR="00592941" w:rsidRPr="00592941">
        <w:rPr>
          <w:rFonts w:ascii="Tahoma" w:hAnsi="Tahoma" w:cs="Tahoma"/>
          <w:b/>
        </w:rPr>
        <w:t xml:space="preserve">ZPA – Frente Marítima </w:t>
      </w:r>
      <w:proofErr w:type="spellStart"/>
      <w:r w:rsidR="00592941" w:rsidRPr="00592941">
        <w:rPr>
          <w:rFonts w:ascii="Tahoma" w:hAnsi="Tahoma" w:cs="Tahoma"/>
          <w:b/>
        </w:rPr>
        <w:t>Camboinhas</w:t>
      </w:r>
      <w:proofErr w:type="spellEnd"/>
      <w:r w:rsidR="00592941" w:rsidRPr="00592941">
        <w:rPr>
          <w:rFonts w:ascii="Tahoma" w:hAnsi="Tahoma" w:cs="Tahoma"/>
          <w:b/>
        </w:rPr>
        <w:t xml:space="preserve"> – </w:t>
      </w:r>
      <w:proofErr w:type="spellStart"/>
      <w:r w:rsidR="00592941" w:rsidRPr="00592941">
        <w:rPr>
          <w:rFonts w:ascii="Tahoma" w:hAnsi="Tahoma" w:cs="Tahoma"/>
          <w:b/>
        </w:rPr>
        <w:t>Itaipú</w:t>
      </w:r>
      <w:proofErr w:type="spellEnd"/>
      <w:r>
        <w:rPr>
          <w:rFonts w:ascii="Tahoma" w:eastAsia="Tahoma" w:hAnsi="Tahoma" w:cs="Tahoma"/>
          <w:b/>
          <w:sz w:val="22"/>
          <w:szCs w:val="22"/>
        </w:rPr>
        <w:t xml:space="preserve">, </w:t>
      </w:r>
      <w:r>
        <w:rPr>
          <w:rFonts w:ascii="Tahoma" w:eastAsia="Tahoma" w:hAnsi="Tahoma" w:cs="Tahoma"/>
          <w:sz w:val="22"/>
          <w:szCs w:val="22"/>
        </w:rPr>
        <w:t xml:space="preserve">ao Projeto de Lei Nº </w:t>
      </w:r>
      <w:r w:rsidR="003D5998">
        <w:rPr>
          <w:rFonts w:ascii="Tahoma" w:eastAsia="Tahoma" w:hAnsi="Tahoma" w:cs="Tahoma"/>
          <w:sz w:val="22"/>
          <w:szCs w:val="22"/>
        </w:rPr>
        <w:t>0022</w:t>
      </w:r>
      <w:r w:rsidR="00057622">
        <w:rPr>
          <w:rFonts w:ascii="Tahoma" w:eastAsia="Tahoma" w:hAnsi="Tahoma" w:cs="Tahoma"/>
          <w:sz w:val="22"/>
          <w:szCs w:val="22"/>
        </w:rPr>
        <w:t>1/202</w:t>
      </w:r>
      <w:r w:rsidR="003D5998">
        <w:rPr>
          <w:rFonts w:ascii="Tahoma" w:eastAsia="Tahoma" w:hAnsi="Tahoma" w:cs="Tahoma"/>
          <w:sz w:val="22"/>
          <w:szCs w:val="22"/>
        </w:rPr>
        <w:t>3</w:t>
      </w:r>
      <w:r>
        <w:rPr>
          <w:rFonts w:ascii="Tahoma" w:eastAsia="Tahoma" w:hAnsi="Tahoma" w:cs="Tahoma"/>
          <w:sz w:val="22"/>
          <w:szCs w:val="22"/>
        </w:rPr>
        <w:t>, lei urbanística de Niterói, seu zoneamento, a aplicação de instrumentos de política urbana e as regras gerais de licenciamento da atividade edilícia e de fiscalização da execução de obras</w:t>
      </w:r>
      <w:r>
        <w:rPr>
          <w:rFonts w:ascii="Tahoma" w:eastAsia="Tahoma" w:hAnsi="Tahoma" w:cs="Tahoma"/>
          <w:color w:val="000000"/>
          <w:sz w:val="22"/>
          <w:szCs w:val="22"/>
          <w:highlight w:val="white"/>
        </w:rPr>
        <w:t>.</w:t>
      </w:r>
    </w:p>
    <w:p w:rsidR="00EF76D3" w:rsidRDefault="00EF76D3">
      <w:pPr>
        <w:ind w:left="567"/>
        <w:jc w:val="both"/>
        <w:rPr>
          <w:rFonts w:ascii="Tahoma" w:eastAsia="Tahoma" w:hAnsi="Tahoma" w:cs="Tahoma"/>
          <w:sz w:val="22"/>
          <w:szCs w:val="22"/>
        </w:rPr>
      </w:pPr>
    </w:p>
    <w:p w:rsidR="00CD3640" w:rsidRDefault="00393178">
      <w:pPr>
        <w:spacing w:line="360" w:lineRule="auto"/>
        <w:jc w:val="both"/>
        <w:rPr>
          <w:rFonts w:ascii="Tahoma" w:eastAsia="Tahoma" w:hAnsi="Tahoma" w:cs="Tahoma"/>
          <w:b/>
          <w:sz w:val="22"/>
          <w:szCs w:val="22"/>
        </w:rPr>
      </w:pPr>
      <w:r>
        <w:rPr>
          <w:rFonts w:ascii="Tahoma" w:eastAsia="Tahoma" w:hAnsi="Tahoma" w:cs="Tahoma"/>
          <w:b/>
          <w:sz w:val="22"/>
          <w:szCs w:val="22"/>
        </w:rPr>
        <w:t xml:space="preserve">Art.1º - Acrescenta-se o </w:t>
      </w:r>
      <w:r w:rsidR="00592941">
        <w:rPr>
          <w:rFonts w:ascii="Tahoma" w:eastAsia="Tahoma" w:hAnsi="Tahoma" w:cs="Tahoma"/>
          <w:b/>
          <w:sz w:val="22"/>
          <w:szCs w:val="22"/>
        </w:rPr>
        <w:t>§ 6º, ao Art. 226</w:t>
      </w:r>
      <w:r w:rsidR="00592941" w:rsidRPr="00BE2646">
        <w:rPr>
          <w:rFonts w:ascii="Tahoma" w:eastAsia="Tahoma" w:hAnsi="Tahoma" w:cs="Tahoma"/>
          <w:b/>
          <w:sz w:val="22"/>
          <w:szCs w:val="22"/>
        </w:rPr>
        <w:t xml:space="preserve">, </w:t>
      </w:r>
      <w:r w:rsidR="00592941" w:rsidRPr="00592941">
        <w:rPr>
          <w:rFonts w:ascii="Tahoma" w:hAnsi="Tahoma" w:cs="Tahoma"/>
          <w:b/>
        </w:rPr>
        <w:t xml:space="preserve">ZPA – Frente Marítima </w:t>
      </w:r>
      <w:proofErr w:type="spellStart"/>
      <w:r w:rsidR="00592941" w:rsidRPr="00592941">
        <w:rPr>
          <w:rFonts w:ascii="Tahoma" w:hAnsi="Tahoma" w:cs="Tahoma"/>
          <w:b/>
        </w:rPr>
        <w:t>Camboinhas</w:t>
      </w:r>
      <w:proofErr w:type="spellEnd"/>
      <w:r w:rsidR="00592941" w:rsidRPr="00592941">
        <w:rPr>
          <w:rFonts w:ascii="Tahoma" w:hAnsi="Tahoma" w:cs="Tahoma"/>
          <w:b/>
        </w:rPr>
        <w:t xml:space="preserve"> – </w:t>
      </w:r>
      <w:proofErr w:type="spellStart"/>
      <w:r w:rsidR="00592941" w:rsidRPr="00592941">
        <w:rPr>
          <w:rFonts w:ascii="Tahoma" w:hAnsi="Tahoma" w:cs="Tahoma"/>
          <w:b/>
        </w:rPr>
        <w:t>Itaipú</w:t>
      </w:r>
      <w:proofErr w:type="spellEnd"/>
      <w:r w:rsidR="00097F22">
        <w:rPr>
          <w:rFonts w:ascii="Tahoma" w:eastAsia="Tahoma" w:hAnsi="Tahoma" w:cs="Tahoma"/>
          <w:b/>
          <w:sz w:val="22"/>
          <w:szCs w:val="22"/>
        </w:rPr>
        <w:t>.</w:t>
      </w:r>
    </w:p>
    <w:p w:rsidR="00592941" w:rsidRPr="00592941" w:rsidRDefault="00592941" w:rsidP="00592941">
      <w:pPr>
        <w:pStyle w:val="SemEspaamento"/>
        <w:rPr>
          <w:rFonts w:ascii="Tahoma" w:eastAsia="Arial MT" w:hAnsi="Tahoma" w:cs="Tahoma"/>
          <w:lang w:val="pt-PT"/>
        </w:rPr>
      </w:pPr>
    </w:p>
    <w:p w:rsidR="00592941" w:rsidRPr="00592941" w:rsidRDefault="00592941" w:rsidP="00592941">
      <w:pPr>
        <w:pStyle w:val="SemEspaamento"/>
        <w:rPr>
          <w:rFonts w:ascii="Tahoma" w:eastAsia="Arial MT" w:hAnsi="Tahoma" w:cs="Tahoma"/>
          <w:lang w:val="pt-PT"/>
        </w:rPr>
      </w:pPr>
      <w:r w:rsidRPr="00592941">
        <w:rPr>
          <w:rFonts w:ascii="Tahoma" w:eastAsia="Arial MT" w:hAnsi="Tahoma" w:cs="Tahoma"/>
          <w:lang w:val="pt-PT"/>
        </w:rPr>
        <w:t>Art.226. São</w:t>
      </w:r>
      <w:r>
        <w:rPr>
          <w:rFonts w:ascii="Tahoma" w:eastAsia="Arial MT" w:hAnsi="Tahoma" w:cs="Tahoma"/>
          <w:lang w:val="pt-PT"/>
        </w:rPr>
        <w:t xml:space="preserve"> </w:t>
      </w:r>
      <w:r w:rsidRPr="00592941">
        <w:rPr>
          <w:rFonts w:ascii="Tahoma" w:eastAsia="Arial MT" w:hAnsi="Tahoma" w:cs="Tahoma"/>
          <w:lang w:val="pt-PT"/>
        </w:rPr>
        <w:t>considerados</w:t>
      </w:r>
      <w:r>
        <w:rPr>
          <w:rFonts w:ascii="Tahoma" w:eastAsia="Arial MT" w:hAnsi="Tahoma" w:cs="Tahoma"/>
          <w:lang w:val="pt-PT"/>
        </w:rPr>
        <w:t xml:space="preserve"> </w:t>
      </w:r>
      <w:r w:rsidRPr="00592941">
        <w:rPr>
          <w:rFonts w:ascii="Tahoma" w:eastAsia="Arial MT" w:hAnsi="Tahoma" w:cs="Tahoma"/>
          <w:lang w:val="pt-PT"/>
        </w:rPr>
        <w:t>bens de</w:t>
      </w:r>
      <w:r>
        <w:rPr>
          <w:rFonts w:ascii="Tahoma" w:eastAsia="Arial MT" w:hAnsi="Tahoma" w:cs="Tahoma"/>
          <w:lang w:val="pt-PT"/>
        </w:rPr>
        <w:t xml:space="preserve"> </w:t>
      </w:r>
      <w:r w:rsidRPr="00592941">
        <w:rPr>
          <w:rFonts w:ascii="Tahoma" w:eastAsia="Arial MT" w:hAnsi="Tahoma" w:cs="Tahoma"/>
          <w:lang w:val="pt-PT"/>
        </w:rPr>
        <w:t>interesse</w:t>
      </w:r>
      <w:r>
        <w:rPr>
          <w:rFonts w:ascii="Tahoma" w:eastAsia="Arial MT" w:hAnsi="Tahoma" w:cs="Tahoma"/>
          <w:lang w:val="pt-PT"/>
        </w:rPr>
        <w:t xml:space="preserve"> </w:t>
      </w:r>
      <w:r w:rsidRPr="00592941">
        <w:rPr>
          <w:rFonts w:ascii="Tahoma" w:eastAsia="Arial MT" w:hAnsi="Tahoma" w:cs="Tahoma"/>
          <w:lang w:val="pt-PT"/>
        </w:rPr>
        <w:t>publico aqueles</w:t>
      </w:r>
      <w:r>
        <w:rPr>
          <w:rFonts w:ascii="Tahoma" w:eastAsia="Arial MT" w:hAnsi="Tahoma" w:cs="Tahoma"/>
          <w:lang w:val="pt-PT"/>
        </w:rPr>
        <w:t xml:space="preserve"> </w:t>
      </w:r>
      <w:r w:rsidRPr="00592941">
        <w:rPr>
          <w:rFonts w:ascii="Tahoma" w:eastAsia="Arial MT" w:hAnsi="Tahoma" w:cs="Tahoma"/>
          <w:lang w:val="pt-PT"/>
        </w:rPr>
        <w:t>listados no</w:t>
      </w:r>
      <w:r>
        <w:rPr>
          <w:rFonts w:ascii="Tahoma" w:eastAsia="Arial MT" w:hAnsi="Tahoma" w:cs="Tahoma"/>
          <w:lang w:val="pt-PT"/>
        </w:rPr>
        <w:t xml:space="preserve"> </w:t>
      </w:r>
      <w:r w:rsidRPr="00592941">
        <w:rPr>
          <w:rFonts w:ascii="Tahoma" w:eastAsia="Arial MT" w:hAnsi="Tahoma" w:cs="Tahoma"/>
          <w:lang w:val="pt-PT"/>
        </w:rPr>
        <w:t>Quadro</w:t>
      </w:r>
      <w:r>
        <w:rPr>
          <w:rFonts w:ascii="Tahoma" w:eastAsia="Arial MT" w:hAnsi="Tahoma" w:cs="Tahoma"/>
          <w:lang w:val="pt-PT"/>
        </w:rPr>
        <w:t xml:space="preserve"> </w:t>
      </w:r>
      <w:r w:rsidRPr="00592941">
        <w:rPr>
          <w:rFonts w:ascii="Tahoma" w:eastAsia="Arial MT" w:hAnsi="Tahoma" w:cs="Tahoma"/>
          <w:lang w:val="pt-PT"/>
        </w:rPr>
        <w:t>VIII</w:t>
      </w:r>
      <w:r>
        <w:rPr>
          <w:rFonts w:ascii="Tahoma" w:eastAsia="Arial MT" w:hAnsi="Tahoma" w:cs="Tahoma"/>
          <w:lang w:val="pt-PT"/>
        </w:rPr>
        <w:t xml:space="preserve"> </w:t>
      </w:r>
      <w:r w:rsidRPr="00592941">
        <w:rPr>
          <w:rFonts w:ascii="Tahoma" w:eastAsia="Arial MT" w:hAnsi="Tahoma" w:cs="Tahoma"/>
          <w:lang w:val="pt-PT"/>
        </w:rPr>
        <w:t>da presente</w:t>
      </w:r>
      <w:r>
        <w:rPr>
          <w:rFonts w:ascii="Tahoma" w:eastAsia="Arial MT" w:hAnsi="Tahoma" w:cs="Tahoma"/>
          <w:lang w:val="pt-PT"/>
        </w:rPr>
        <w:t xml:space="preserve"> </w:t>
      </w:r>
      <w:r w:rsidRPr="00592941">
        <w:rPr>
          <w:rFonts w:ascii="Tahoma" w:eastAsia="Arial MT" w:hAnsi="Tahoma" w:cs="Tahoma"/>
          <w:lang w:val="pt-PT"/>
        </w:rPr>
        <w:t>Lei.</w:t>
      </w:r>
    </w:p>
    <w:p w:rsidR="00592941" w:rsidRPr="00592941" w:rsidRDefault="00592941" w:rsidP="00592941">
      <w:pPr>
        <w:pStyle w:val="SemEspaamento"/>
        <w:rPr>
          <w:rFonts w:ascii="Tahoma" w:hAnsi="Tahoma" w:cs="Tahoma"/>
        </w:rPr>
      </w:pPr>
    </w:p>
    <w:p w:rsidR="00592941" w:rsidRPr="00592941" w:rsidRDefault="00592941" w:rsidP="00592941">
      <w:pPr>
        <w:pStyle w:val="SemEspaamento"/>
        <w:ind w:left="708"/>
        <w:jc w:val="both"/>
        <w:rPr>
          <w:rFonts w:ascii="Tahoma" w:hAnsi="Tahoma" w:cs="Tahoma"/>
          <w:b/>
        </w:rPr>
      </w:pPr>
      <w:r w:rsidRPr="00592941">
        <w:rPr>
          <w:rFonts w:ascii="Tahoma" w:hAnsi="Tahoma" w:cs="Tahoma"/>
          <w:b/>
        </w:rPr>
        <w:t xml:space="preserve">§ 6º - ZPA – Frente Marítima </w:t>
      </w:r>
      <w:proofErr w:type="spellStart"/>
      <w:r w:rsidRPr="00592941">
        <w:rPr>
          <w:rFonts w:ascii="Tahoma" w:hAnsi="Tahoma" w:cs="Tahoma"/>
          <w:b/>
        </w:rPr>
        <w:t>Camboinhas</w:t>
      </w:r>
      <w:proofErr w:type="spellEnd"/>
      <w:r w:rsidRPr="00592941">
        <w:rPr>
          <w:rFonts w:ascii="Tahoma" w:hAnsi="Tahoma" w:cs="Tahoma"/>
          <w:b/>
        </w:rPr>
        <w:t xml:space="preserve"> – </w:t>
      </w:r>
      <w:proofErr w:type="spellStart"/>
      <w:r w:rsidRPr="00592941">
        <w:rPr>
          <w:rFonts w:ascii="Tahoma" w:hAnsi="Tahoma" w:cs="Tahoma"/>
          <w:b/>
        </w:rPr>
        <w:t>Itaipú</w:t>
      </w:r>
      <w:proofErr w:type="spellEnd"/>
      <w:r w:rsidRPr="00592941">
        <w:rPr>
          <w:rFonts w:ascii="Tahoma" w:hAnsi="Tahoma" w:cs="Tahoma"/>
          <w:b/>
        </w:rPr>
        <w:t xml:space="preserve">, em cumprimento a Resolução nº 303/2002 do Conselho Nacional do Meio Ambiente, compreendida por:  </w:t>
      </w:r>
    </w:p>
    <w:p w:rsidR="00592941" w:rsidRPr="00592941" w:rsidRDefault="00592941" w:rsidP="00592941">
      <w:pPr>
        <w:pStyle w:val="SemEspaamento"/>
        <w:ind w:left="708"/>
        <w:jc w:val="both"/>
        <w:rPr>
          <w:rStyle w:val="Forte"/>
          <w:rFonts w:ascii="Tahoma" w:hAnsi="Tahoma" w:cs="Tahoma"/>
        </w:rPr>
      </w:pPr>
    </w:p>
    <w:p w:rsidR="00592941" w:rsidRPr="00592941" w:rsidRDefault="00592941" w:rsidP="00592941">
      <w:pPr>
        <w:pStyle w:val="SemEspaamento"/>
        <w:ind w:left="708"/>
        <w:jc w:val="both"/>
        <w:rPr>
          <w:rStyle w:val="Forte"/>
          <w:rFonts w:ascii="Tahoma" w:hAnsi="Tahoma" w:cs="Tahoma"/>
        </w:rPr>
      </w:pPr>
      <w:r w:rsidRPr="00592941">
        <w:rPr>
          <w:rStyle w:val="Forte"/>
          <w:rFonts w:ascii="Tahoma" w:hAnsi="Tahoma" w:cs="Tahoma"/>
        </w:rPr>
        <w:t xml:space="preserve">I – Faixa de terra entre orla da lagoa de Itaipu e a linha de preamar máxima na praia de Camboinhas, delimitada a oeste pelo muro do Condomínio </w:t>
      </w:r>
      <w:proofErr w:type="spellStart"/>
      <w:r w:rsidRPr="00592941">
        <w:rPr>
          <w:rStyle w:val="Forte"/>
          <w:rFonts w:ascii="Tahoma" w:hAnsi="Tahoma" w:cs="Tahoma"/>
        </w:rPr>
        <w:t>Ocean</w:t>
      </w:r>
      <w:proofErr w:type="spellEnd"/>
      <w:r w:rsidRPr="00592941">
        <w:rPr>
          <w:rStyle w:val="Forte"/>
          <w:rFonts w:ascii="Tahoma" w:hAnsi="Tahoma" w:cs="Tahoma"/>
        </w:rPr>
        <w:t xml:space="preserve"> In e a oeste pelo Canal de Itaipu; </w:t>
      </w:r>
    </w:p>
    <w:p w:rsidR="00592941" w:rsidRPr="00592941" w:rsidRDefault="00592941" w:rsidP="00592941">
      <w:pPr>
        <w:pStyle w:val="SemEspaamento"/>
        <w:ind w:left="708"/>
        <w:jc w:val="both"/>
        <w:rPr>
          <w:rStyle w:val="Forte"/>
          <w:rFonts w:ascii="Tahoma" w:hAnsi="Tahoma" w:cs="Tahoma"/>
        </w:rPr>
      </w:pPr>
    </w:p>
    <w:p w:rsidR="00592941" w:rsidRPr="00592941" w:rsidRDefault="00592941" w:rsidP="00592941">
      <w:pPr>
        <w:pStyle w:val="SemEspaamento"/>
        <w:ind w:left="708"/>
        <w:jc w:val="both"/>
        <w:rPr>
          <w:rStyle w:val="Forte"/>
          <w:rFonts w:ascii="Tahoma" w:hAnsi="Tahoma" w:cs="Tahoma"/>
        </w:rPr>
      </w:pPr>
      <w:r w:rsidRPr="00592941">
        <w:rPr>
          <w:rStyle w:val="Forte"/>
          <w:rFonts w:ascii="Tahoma" w:hAnsi="Tahoma" w:cs="Tahoma"/>
        </w:rPr>
        <w:t xml:space="preserve">II – Faixa de terra delimitada pela área do Parque Estadual da Serra da Tiririca que protege a Duna Grande e pela linha de preamar máxima na praia de Itaipu, delimitada a oeste pelo Canal de Itaipu e a leste pela projeção do alinhamento da Estrada Francisco da Cruz Nunes em direção ao mar.   </w:t>
      </w:r>
    </w:p>
    <w:p w:rsidR="00592941" w:rsidRPr="00592941" w:rsidRDefault="00592941" w:rsidP="00592941">
      <w:pPr>
        <w:pStyle w:val="SemEspaamento"/>
        <w:ind w:left="708"/>
        <w:jc w:val="both"/>
        <w:rPr>
          <w:rStyle w:val="Forte"/>
          <w:rFonts w:ascii="Tahoma" w:hAnsi="Tahoma" w:cs="Tahoma"/>
        </w:rPr>
      </w:pPr>
    </w:p>
    <w:p w:rsidR="00592941" w:rsidRDefault="00592941">
      <w:pPr>
        <w:spacing w:line="360" w:lineRule="auto"/>
        <w:jc w:val="both"/>
        <w:rPr>
          <w:rFonts w:ascii="Tahoma" w:eastAsia="Tahoma" w:hAnsi="Tahoma" w:cs="Tahoma"/>
          <w:b/>
          <w:sz w:val="22"/>
          <w:szCs w:val="22"/>
        </w:rPr>
      </w:pPr>
    </w:p>
    <w:p w:rsidR="00D81AED" w:rsidRDefault="00D81AED">
      <w:pPr>
        <w:spacing w:line="360" w:lineRule="auto"/>
        <w:jc w:val="both"/>
        <w:rPr>
          <w:rFonts w:ascii="Tahoma" w:eastAsia="Tahoma" w:hAnsi="Tahoma" w:cs="Tahoma"/>
        </w:rPr>
      </w:pPr>
    </w:p>
    <w:p w:rsidR="00EF76D3" w:rsidRDefault="00D81AED">
      <w:pPr>
        <w:ind w:left="567"/>
        <w:jc w:val="right"/>
        <w:rPr>
          <w:rFonts w:ascii="Tahoma" w:eastAsia="Tahoma" w:hAnsi="Tahoma" w:cs="Tahoma"/>
        </w:rPr>
      </w:pPr>
      <w:r>
        <w:rPr>
          <w:rFonts w:ascii="Tahoma" w:eastAsia="Tahoma" w:hAnsi="Tahoma" w:cs="Tahoma"/>
        </w:rPr>
        <w:t xml:space="preserve">Sala das Sessões, </w:t>
      </w:r>
      <w:r w:rsidR="00BE2646">
        <w:rPr>
          <w:rFonts w:ascii="Tahoma" w:eastAsia="Tahoma" w:hAnsi="Tahoma" w:cs="Tahoma"/>
        </w:rPr>
        <w:t>12</w:t>
      </w:r>
      <w:r w:rsidR="00393178">
        <w:rPr>
          <w:rFonts w:ascii="Tahoma" w:eastAsia="Tahoma" w:hAnsi="Tahoma" w:cs="Tahoma"/>
        </w:rPr>
        <w:t xml:space="preserve"> de </w:t>
      </w:r>
      <w:r w:rsidR="00BE2646">
        <w:rPr>
          <w:rFonts w:ascii="Tahoma" w:eastAsia="Tahoma" w:hAnsi="Tahoma" w:cs="Tahoma"/>
        </w:rPr>
        <w:t>fevereiro</w:t>
      </w:r>
      <w:r w:rsidR="00393178">
        <w:rPr>
          <w:rFonts w:ascii="Tahoma" w:eastAsia="Tahoma" w:hAnsi="Tahoma" w:cs="Tahoma"/>
        </w:rPr>
        <w:t xml:space="preserve"> de 202</w:t>
      </w:r>
      <w:r w:rsidR="00BE2646">
        <w:rPr>
          <w:rFonts w:ascii="Tahoma" w:eastAsia="Tahoma" w:hAnsi="Tahoma" w:cs="Tahoma"/>
        </w:rPr>
        <w:t>4</w:t>
      </w:r>
      <w:r w:rsidR="00393178">
        <w:rPr>
          <w:rFonts w:ascii="Tahoma" w:eastAsia="Tahoma" w:hAnsi="Tahoma" w:cs="Tahoma"/>
        </w:rPr>
        <w:t>.</w:t>
      </w:r>
    </w:p>
    <w:p w:rsidR="00D81AED" w:rsidRDefault="00D81AED">
      <w:pPr>
        <w:ind w:left="567"/>
        <w:jc w:val="right"/>
        <w:rPr>
          <w:rFonts w:ascii="Tahoma" w:eastAsia="Tahoma" w:hAnsi="Tahoma" w:cs="Tahoma"/>
        </w:rPr>
      </w:pPr>
    </w:p>
    <w:p w:rsidR="00EF76D3" w:rsidRDefault="00EF76D3">
      <w:pPr>
        <w:shd w:val="clear" w:color="auto" w:fill="FFFFFF"/>
        <w:jc w:val="center"/>
        <w:rPr>
          <w:rFonts w:ascii="Tahoma" w:eastAsia="Tahoma" w:hAnsi="Tahoma" w:cs="Tahoma"/>
          <w:b/>
        </w:rPr>
      </w:pPr>
    </w:p>
    <w:p w:rsidR="00421A45" w:rsidRPr="003B7D27" w:rsidRDefault="00421A45" w:rsidP="00421A45">
      <w:pPr>
        <w:jc w:val="both"/>
        <w:rPr>
          <w:rFonts w:ascii="Arial" w:hAnsi="Arial" w:cs="Arial"/>
          <w:color w:val="000000"/>
          <w:sz w:val="22"/>
          <w:szCs w:val="22"/>
        </w:rPr>
      </w:pPr>
      <w:r w:rsidRPr="003B7D27">
        <w:rPr>
          <w:rFonts w:ascii="Arial" w:hAnsi="Arial" w:cs="Arial"/>
          <w:color w:val="000000"/>
          <w:sz w:val="22"/>
          <w:szCs w:val="22"/>
        </w:rPr>
        <w:t>C.E.X.</w:t>
      </w:r>
    </w:p>
    <w:p w:rsidR="00421A45" w:rsidRPr="003B7D27" w:rsidRDefault="00421A45" w:rsidP="00421A45">
      <w:pPr>
        <w:jc w:val="center"/>
        <w:rPr>
          <w:rFonts w:ascii="Arial" w:hAnsi="Arial" w:cs="Arial"/>
          <w:color w:val="000000"/>
          <w:sz w:val="22"/>
          <w:szCs w:val="22"/>
        </w:rPr>
      </w:pPr>
      <w:r w:rsidRPr="003B7D27">
        <w:rPr>
          <w:rFonts w:ascii="Arial" w:hAnsi="Arial" w:cs="Arial"/>
          <w:color w:val="000000"/>
          <w:sz w:val="22"/>
          <w:szCs w:val="22"/>
        </w:rPr>
        <w:t>Milton Carlos Lopes – CAL</w:t>
      </w:r>
    </w:p>
    <w:p w:rsidR="00421A45" w:rsidRPr="003B7D27" w:rsidRDefault="00421A45" w:rsidP="00421A45">
      <w:pPr>
        <w:jc w:val="center"/>
        <w:rPr>
          <w:rFonts w:ascii="Arial" w:hAnsi="Arial" w:cs="Arial"/>
          <w:color w:val="000000"/>
          <w:sz w:val="22"/>
          <w:szCs w:val="22"/>
        </w:rPr>
      </w:pPr>
      <w:r w:rsidRPr="003B7D27">
        <w:rPr>
          <w:rFonts w:ascii="Arial" w:hAnsi="Arial" w:cs="Arial"/>
          <w:color w:val="000000"/>
          <w:sz w:val="22"/>
          <w:szCs w:val="22"/>
        </w:rPr>
        <w:t>Presidente</w:t>
      </w:r>
    </w:p>
    <w:p w:rsidR="00421A45" w:rsidRDefault="00421A45" w:rsidP="00421A45">
      <w:pPr>
        <w:jc w:val="center"/>
        <w:rPr>
          <w:rFonts w:ascii="Arial" w:hAnsi="Arial" w:cs="Arial"/>
          <w:color w:val="000000"/>
          <w:sz w:val="22"/>
          <w:szCs w:val="22"/>
        </w:rPr>
      </w:pPr>
    </w:p>
    <w:p w:rsidR="00421A45" w:rsidRPr="003B7D27" w:rsidRDefault="00421A45" w:rsidP="00421A45">
      <w:pPr>
        <w:jc w:val="center"/>
        <w:rPr>
          <w:rFonts w:ascii="Arial" w:hAnsi="Arial" w:cs="Arial"/>
          <w:color w:val="000000"/>
          <w:sz w:val="22"/>
          <w:szCs w:val="22"/>
        </w:rPr>
      </w:pPr>
      <w:r w:rsidRPr="003B7D27">
        <w:rPr>
          <w:rFonts w:ascii="Arial" w:hAnsi="Arial" w:cs="Arial"/>
          <w:color w:val="000000"/>
          <w:sz w:val="22"/>
          <w:szCs w:val="22"/>
        </w:rPr>
        <w:t xml:space="preserve">Renato </w:t>
      </w:r>
      <w:proofErr w:type="spellStart"/>
      <w:r w:rsidRPr="003B7D27">
        <w:rPr>
          <w:rFonts w:ascii="Arial" w:hAnsi="Arial" w:cs="Arial"/>
          <w:color w:val="000000"/>
          <w:sz w:val="22"/>
          <w:szCs w:val="22"/>
        </w:rPr>
        <w:t>Cariello</w:t>
      </w:r>
      <w:proofErr w:type="spellEnd"/>
      <w:r w:rsidRPr="003B7D27">
        <w:rPr>
          <w:rFonts w:ascii="Arial" w:hAnsi="Arial" w:cs="Arial"/>
          <w:color w:val="000000"/>
          <w:sz w:val="22"/>
          <w:szCs w:val="22"/>
        </w:rPr>
        <w:t xml:space="preserve">                                                   </w:t>
      </w:r>
      <w:r>
        <w:rPr>
          <w:rFonts w:ascii="Arial" w:hAnsi="Arial" w:cs="Arial"/>
          <w:color w:val="000000"/>
          <w:sz w:val="22"/>
          <w:szCs w:val="22"/>
        </w:rPr>
        <w:t xml:space="preserve">          </w:t>
      </w:r>
      <w:r w:rsidRPr="003B7D27">
        <w:rPr>
          <w:rFonts w:ascii="Arial" w:hAnsi="Arial" w:cs="Arial"/>
          <w:color w:val="000000"/>
          <w:sz w:val="22"/>
          <w:szCs w:val="22"/>
        </w:rPr>
        <w:t xml:space="preserve">                           Paulo Velasco</w:t>
      </w:r>
    </w:p>
    <w:p w:rsidR="00421A45" w:rsidRPr="003B7D27" w:rsidRDefault="00421A45" w:rsidP="00421A45">
      <w:pPr>
        <w:jc w:val="center"/>
        <w:rPr>
          <w:rFonts w:ascii="Arial" w:hAnsi="Arial" w:cs="Arial"/>
          <w:color w:val="000000"/>
          <w:sz w:val="22"/>
          <w:szCs w:val="22"/>
        </w:rPr>
      </w:pPr>
      <w:r w:rsidRPr="003B7D27">
        <w:rPr>
          <w:rFonts w:ascii="Arial" w:hAnsi="Arial" w:cs="Arial"/>
          <w:color w:val="000000"/>
          <w:sz w:val="22"/>
          <w:szCs w:val="22"/>
        </w:rPr>
        <w:t>1º Vice- Presidente                                                                               2º Vice- Presidente</w:t>
      </w:r>
    </w:p>
    <w:p w:rsidR="00421A45" w:rsidRPr="003B7D27" w:rsidRDefault="00421A45" w:rsidP="00421A45">
      <w:pPr>
        <w:jc w:val="center"/>
        <w:rPr>
          <w:rFonts w:ascii="Arial" w:hAnsi="Arial" w:cs="Arial"/>
          <w:color w:val="000000"/>
          <w:sz w:val="22"/>
          <w:szCs w:val="22"/>
        </w:rPr>
      </w:pPr>
    </w:p>
    <w:p w:rsidR="00421A45" w:rsidRPr="003B7D27" w:rsidRDefault="00421A45" w:rsidP="00421A45">
      <w:pPr>
        <w:jc w:val="center"/>
        <w:rPr>
          <w:rFonts w:ascii="Arial" w:hAnsi="Arial" w:cs="Arial"/>
          <w:color w:val="000000"/>
          <w:sz w:val="22"/>
          <w:szCs w:val="22"/>
        </w:rPr>
      </w:pPr>
    </w:p>
    <w:p w:rsidR="00421A45" w:rsidRPr="003B7D27" w:rsidRDefault="00421A45" w:rsidP="00421A45">
      <w:pPr>
        <w:jc w:val="center"/>
        <w:rPr>
          <w:rFonts w:ascii="Arial" w:hAnsi="Arial" w:cs="Arial"/>
          <w:color w:val="000000"/>
          <w:sz w:val="22"/>
          <w:szCs w:val="22"/>
        </w:rPr>
      </w:pPr>
    </w:p>
    <w:p w:rsidR="00421A45" w:rsidRPr="003B7D27" w:rsidRDefault="00421A45" w:rsidP="00421A45">
      <w:pPr>
        <w:jc w:val="center"/>
        <w:rPr>
          <w:rFonts w:ascii="Arial" w:hAnsi="Arial" w:cs="Arial"/>
          <w:color w:val="000000"/>
          <w:sz w:val="22"/>
          <w:szCs w:val="22"/>
        </w:rPr>
      </w:pPr>
    </w:p>
    <w:p w:rsidR="00421A45" w:rsidRPr="003B7D27" w:rsidRDefault="00421A45" w:rsidP="00421A45">
      <w:pPr>
        <w:rPr>
          <w:rFonts w:ascii="Arial" w:hAnsi="Arial" w:cs="Arial"/>
          <w:color w:val="000000"/>
          <w:sz w:val="22"/>
          <w:szCs w:val="22"/>
        </w:rPr>
      </w:pPr>
      <w:r w:rsidRPr="003B7D27">
        <w:rPr>
          <w:rFonts w:ascii="Arial" w:hAnsi="Arial" w:cs="Arial"/>
          <w:color w:val="000000"/>
          <w:sz w:val="22"/>
          <w:szCs w:val="22"/>
        </w:rPr>
        <w:t xml:space="preserve">      Emanuel Rocha                                                                           </w:t>
      </w:r>
      <w:r>
        <w:rPr>
          <w:rFonts w:ascii="Arial Narrow" w:hAnsi="Arial Narrow" w:cs="Arial Narrow"/>
          <w:color w:val="000000"/>
        </w:rPr>
        <w:t xml:space="preserve">Adriano dos Santos Oliveira - </w:t>
      </w:r>
      <w:proofErr w:type="spellStart"/>
      <w:r>
        <w:rPr>
          <w:rFonts w:ascii="Arial Narrow" w:hAnsi="Arial Narrow" w:cs="Arial Narrow"/>
          <w:color w:val="000000"/>
        </w:rPr>
        <w:t>Boinha</w:t>
      </w:r>
      <w:proofErr w:type="spellEnd"/>
    </w:p>
    <w:p w:rsidR="00421A45" w:rsidRPr="003B7D27" w:rsidRDefault="00421A45" w:rsidP="00421A45">
      <w:pPr>
        <w:rPr>
          <w:rFonts w:ascii="Arial" w:hAnsi="Arial" w:cs="Arial"/>
          <w:color w:val="000000"/>
          <w:sz w:val="22"/>
          <w:szCs w:val="22"/>
        </w:rPr>
      </w:pPr>
      <w:r w:rsidRPr="003B7D27">
        <w:rPr>
          <w:rFonts w:ascii="Arial" w:hAnsi="Arial" w:cs="Arial"/>
          <w:color w:val="000000"/>
          <w:sz w:val="22"/>
          <w:szCs w:val="22"/>
        </w:rPr>
        <w:t xml:space="preserve">       1º Secretário                                                                                   </w:t>
      </w:r>
      <w:r>
        <w:rPr>
          <w:rFonts w:ascii="Arial" w:hAnsi="Arial" w:cs="Arial"/>
          <w:color w:val="000000"/>
          <w:sz w:val="22"/>
          <w:szCs w:val="22"/>
        </w:rPr>
        <w:t xml:space="preserve">         </w:t>
      </w:r>
      <w:r w:rsidRPr="003B7D27">
        <w:rPr>
          <w:rFonts w:ascii="Arial" w:hAnsi="Arial" w:cs="Arial"/>
          <w:color w:val="000000"/>
          <w:sz w:val="22"/>
          <w:szCs w:val="22"/>
        </w:rPr>
        <w:t xml:space="preserve">     </w:t>
      </w:r>
      <w:r>
        <w:rPr>
          <w:rFonts w:ascii="Arial" w:hAnsi="Arial" w:cs="Arial"/>
          <w:color w:val="000000"/>
          <w:sz w:val="22"/>
          <w:szCs w:val="22"/>
        </w:rPr>
        <w:t>2º Secretário</w:t>
      </w:r>
      <w:r w:rsidRPr="003B7D27">
        <w:rPr>
          <w:rFonts w:ascii="Arial" w:hAnsi="Arial" w:cs="Arial"/>
          <w:color w:val="000000"/>
          <w:sz w:val="22"/>
          <w:szCs w:val="22"/>
        </w:rPr>
        <w:t xml:space="preserve"> </w:t>
      </w:r>
    </w:p>
    <w:p w:rsidR="00EF76D3" w:rsidRDefault="00EF76D3">
      <w:pPr>
        <w:shd w:val="clear" w:color="auto" w:fill="FFFFFF"/>
        <w:jc w:val="center"/>
        <w:rPr>
          <w:rFonts w:ascii="Tahoma" w:eastAsia="Tahoma" w:hAnsi="Tahoma" w:cs="Tahoma"/>
          <w:b/>
        </w:rPr>
      </w:pPr>
    </w:p>
    <w:p w:rsidR="00EF76D3" w:rsidRDefault="00EF76D3">
      <w:pPr>
        <w:shd w:val="clear" w:color="auto" w:fill="FFFFFF"/>
        <w:jc w:val="center"/>
        <w:rPr>
          <w:rFonts w:ascii="Tahoma" w:eastAsia="Tahoma" w:hAnsi="Tahoma" w:cs="Tahoma"/>
          <w:b/>
        </w:rPr>
      </w:pPr>
    </w:p>
    <w:tbl>
      <w:tblPr>
        <w:tblStyle w:val="Tabelacomgrade"/>
        <w:tblW w:w="0" w:type="auto"/>
        <w:tblLook w:val="04A0" w:firstRow="1" w:lastRow="0" w:firstColumn="1" w:lastColumn="0" w:noHBand="0" w:noVBand="1"/>
      </w:tblPr>
      <w:tblGrid>
        <w:gridCol w:w="5092"/>
        <w:gridCol w:w="5092"/>
      </w:tblGrid>
      <w:tr w:rsidR="00D81AED" w:rsidTr="00D81AED">
        <w:tc>
          <w:tcPr>
            <w:tcW w:w="5092" w:type="dxa"/>
            <w:tcBorders>
              <w:top w:val="nil"/>
              <w:left w:val="nil"/>
              <w:bottom w:val="nil"/>
              <w:right w:val="nil"/>
            </w:tcBorders>
          </w:tcPr>
          <w:p w:rsidR="00D81AED" w:rsidRDefault="00D81AED">
            <w:pPr>
              <w:jc w:val="center"/>
              <w:rPr>
                <w:rFonts w:ascii="Tahoma" w:eastAsia="Tahoma" w:hAnsi="Tahoma" w:cs="Tahoma"/>
                <w:b/>
              </w:rPr>
            </w:pPr>
          </w:p>
        </w:tc>
        <w:tc>
          <w:tcPr>
            <w:tcW w:w="5092" w:type="dxa"/>
            <w:tcBorders>
              <w:top w:val="nil"/>
              <w:left w:val="nil"/>
              <w:bottom w:val="nil"/>
              <w:right w:val="nil"/>
            </w:tcBorders>
          </w:tcPr>
          <w:p w:rsidR="00D81AED" w:rsidRDefault="00D81AED">
            <w:pPr>
              <w:jc w:val="center"/>
              <w:rPr>
                <w:rFonts w:ascii="Tahoma" w:eastAsia="Tahoma" w:hAnsi="Tahoma" w:cs="Tahoma"/>
                <w:b/>
              </w:rPr>
            </w:pPr>
          </w:p>
        </w:tc>
      </w:tr>
      <w:tr w:rsidR="00D81AED" w:rsidTr="00D81AED">
        <w:tc>
          <w:tcPr>
            <w:tcW w:w="5092" w:type="dxa"/>
            <w:tcBorders>
              <w:top w:val="nil"/>
              <w:left w:val="nil"/>
              <w:bottom w:val="nil"/>
              <w:right w:val="nil"/>
            </w:tcBorders>
          </w:tcPr>
          <w:p w:rsidR="00737B08" w:rsidRPr="00D81AED" w:rsidRDefault="00737B08">
            <w:pPr>
              <w:jc w:val="center"/>
              <w:rPr>
                <w:rFonts w:ascii="Tahoma" w:eastAsia="Tahoma" w:hAnsi="Tahoma" w:cs="Tahoma"/>
              </w:rPr>
            </w:pPr>
            <w:bookmarkStart w:id="0" w:name="_GoBack"/>
            <w:bookmarkEnd w:id="0"/>
          </w:p>
        </w:tc>
        <w:tc>
          <w:tcPr>
            <w:tcW w:w="5092" w:type="dxa"/>
            <w:tcBorders>
              <w:top w:val="nil"/>
              <w:left w:val="nil"/>
              <w:bottom w:val="nil"/>
              <w:right w:val="nil"/>
            </w:tcBorders>
          </w:tcPr>
          <w:p w:rsidR="00D81AED" w:rsidRPr="00D81AED" w:rsidRDefault="00D81AED">
            <w:pPr>
              <w:jc w:val="center"/>
              <w:rPr>
                <w:rFonts w:ascii="Tahoma" w:eastAsia="Tahoma" w:hAnsi="Tahoma" w:cs="Tahoma"/>
              </w:rPr>
            </w:pPr>
          </w:p>
        </w:tc>
      </w:tr>
      <w:tr w:rsidR="003D5998" w:rsidTr="002016D5">
        <w:tc>
          <w:tcPr>
            <w:tcW w:w="5092" w:type="dxa"/>
            <w:tcBorders>
              <w:top w:val="nil"/>
              <w:left w:val="nil"/>
              <w:bottom w:val="nil"/>
              <w:right w:val="nil"/>
            </w:tcBorders>
          </w:tcPr>
          <w:p w:rsidR="003D5998" w:rsidRDefault="003D5998" w:rsidP="002016D5">
            <w:pPr>
              <w:jc w:val="center"/>
              <w:rPr>
                <w:rFonts w:ascii="Tahoma" w:eastAsia="Tahoma" w:hAnsi="Tahoma" w:cs="Tahoma"/>
                <w:b/>
              </w:rPr>
            </w:pPr>
          </w:p>
        </w:tc>
        <w:tc>
          <w:tcPr>
            <w:tcW w:w="5092" w:type="dxa"/>
            <w:tcBorders>
              <w:top w:val="nil"/>
              <w:left w:val="nil"/>
              <w:bottom w:val="nil"/>
              <w:right w:val="nil"/>
            </w:tcBorders>
          </w:tcPr>
          <w:p w:rsidR="003D5998" w:rsidRPr="00737B08" w:rsidRDefault="003D5998" w:rsidP="002016D5">
            <w:pPr>
              <w:jc w:val="center"/>
              <w:rPr>
                <w:rFonts w:ascii="Tahoma" w:eastAsia="Tahoma" w:hAnsi="Tahoma" w:cs="Tahoma"/>
                <w:b/>
              </w:rPr>
            </w:pPr>
          </w:p>
        </w:tc>
      </w:tr>
      <w:tr w:rsidR="003D5998" w:rsidTr="002016D5">
        <w:tc>
          <w:tcPr>
            <w:tcW w:w="5092" w:type="dxa"/>
            <w:tcBorders>
              <w:top w:val="nil"/>
              <w:left w:val="nil"/>
              <w:bottom w:val="nil"/>
              <w:right w:val="nil"/>
            </w:tcBorders>
          </w:tcPr>
          <w:p w:rsidR="003D5998" w:rsidRPr="00D81AED" w:rsidRDefault="003D5998" w:rsidP="002016D5">
            <w:pPr>
              <w:jc w:val="center"/>
              <w:rPr>
                <w:rFonts w:ascii="Tahoma" w:eastAsia="Tahoma" w:hAnsi="Tahoma" w:cs="Tahoma"/>
              </w:rPr>
            </w:pPr>
          </w:p>
        </w:tc>
        <w:tc>
          <w:tcPr>
            <w:tcW w:w="5092" w:type="dxa"/>
            <w:tcBorders>
              <w:top w:val="nil"/>
              <w:left w:val="nil"/>
              <w:bottom w:val="nil"/>
              <w:right w:val="nil"/>
            </w:tcBorders>
          </w:tcPr>
          <w:p w:rsidR="003D5998" w:rsidRPr="00D81AED" w:rsidRDefault="003D5998" w:rsidP="002016D5">
            <w:pPr>
              <w:jc w:val="center"/>
              <w:rPr>
                <w:rFonts w:ascii="Tahoma" w:eastAsia="Tahoma" w:hAnsi="Tahoma" w:cs="Tahoma"/>
              </w:rPr>
            </w:pPr>
          </w:p>
        </w:tc>
      </w:tr>
    </w:tbl>
    <w:p w:rsidR="00EF76D3" w:rsidRDefault="00393178">
      <w:pPr>
        <w:spacing w:line="360" w:lineRule="auto"/>
        <w:rPr>
          <w:rFonts w:ascii="Tahoma" w:eastAsia="Tahoma" w:hAnsi="Tahoma" w:cs="Tahoma"/>
          <w:b/>
          <w:sz w:val="22"/>
          <w:szCs w:val="22"/>
        </w:rPr>
      </w:pPr>
      <w:r>
        <w:rPr>
          <w:rFonts w:ascii="Tahoma" w:eastAsia="Tahoma" w:hAnsi="Tahoma" w:cs="Tahoma"/>
          <w:b/>
          <w:sz w:val="22"/>
          <w:szCs w:val="22"/>
        </w:rPr>
        <w:t>JUSTIFICATIVA:</w:t>
      </w:r>
    </w:p>
    <w:p w:rsidR="00EF76D3" w:rsidRPr="00592941" w:rsidRDefault="00393178" w:rsidP="00592941">
      <w:pPr>
        <w:spacing w:line="276" w:lineRule="auto"/>
        <w:ind w:firstLine="720"/>
        <w:jc w:val="both"/>
        <w:rPr>
          <w:rFonts w:ascii="Tahoma" w:eastAsia="Tahoma" w:hAnsi="Tahoma" w:cs="Tahoma"/>
          <w:sz w:val="22"/>
          <w:szCs w:val="22"/>
        </w:rPr>
      </w:pPr>
      <w:r w:rsidRPr="00592941">
        <w:rPr>
          <w:rFonts w:ascii="Tahoma" w:eastAsia="Tahoma" w:hAnsi="Tahoma" w:cs="Tahoma"/>
          <w:sz w:val="22"/>
          <w:szCs w:val="22"/>
        </w:rPr>
        <w:t xml:space="preserve">A presente </w:t>
      </w:r>
      <w:r w:rsidR="00CD3640" w:rsidRPr="00592941">
        <w:rPr>
          <w:rFonts w:ascii="Tahoma" w:eastAsia="Tahoma" w:hAnsi="Tahoma" w:cs="Tahoma"/>
          <w:sz w:val="22"/>
          <w:szCs w:val="22"/>
        </w:rPr>
        <w:t>“</w:t>
      </w:r>
      <w:r w:rsidRPr="00592941">
        <w:rPr>
          <w:rFonts w:ascii="Tahoma" w:eastAsia="Tahoma" w:hAnsi="Tahoma" w:cs="Tahoma"/>
          <w:sz w:val="22"/>
          <w:szCs w:val="22"/>
        </w:rPr>
        <w:t>emenda</w:t>
      </w:r>
      <w:r w:rsidR="00CD3640" w:rsidRPr="00592941">
        <w:rPr>
          <w:rFonts w:ascii="Tahoma" w:eastAsia="Tahoma" w:hAnsi="Tahoma" w:cs="Tahoma"/>
          <w:sz w:val="22"/>
          <w:szCs w:val="22"/>
        </w:rPr>
        <w:t xml:space="preserve"> popular” foi apresentada pelo CCRON, durante audiência publica presidida por essa Comissão, ela </w:t>
      </w:r>
      <w:r w:rsidRPr="00592941">
        <w:rPr>
          <w:rFonts w:ascii="Tahoma" w:eastAsia="Tahoma" w:hAnsi="Tahoma" w:cs="Tahoma"/>
          <w:sz w:val="22"/>
          <w:szCs w:val="22"/>
        </w:rPr>
        <w:t xml:space="preserve">vem no intuito de atender a demanda dos moradores, voluntários do CCRON, CLIP, AMADARCY, Coletivo Córrego dos Colibris, Coletivo Lagoa para Sempre, ambientalistas, setor acadêmico, </w:t>
      </w:r>
      <w:proofErr w:type="spellStart"/>
      <w:r w:rsidRPr="00592941">
        <w:rPr>
          <w:rFonts w:ascii="Tahoma" w:eastAsia="Tahoma" w:hAnsi="Tahoma" w:cs="Tahoma"/>
          <w:sz w:val="22"/>
          <w:szCs w:val="22"/>
        </w:rPr>
        <w:t>etc</w:t>
      </w:r>
      <w:proofErr w:type="spellEnd"/>
      <w:r w:rsidR="00D6557A" w:rsidRPr="00592941">
        <w:rPr>
          <w:rFonts w:ascii="Tahoma" w:eastAsia="Tahoma" w:hAnsi="Tahoma" w:cs="Tahoma"/>
          <w:sz w:val="22"/>
          <w:szCs w:val="22"/>
        </w:rPr>
        <w:t>,</w:t>
      </w:r>
      <w:r w:rsidRPr="00592941">
        <w:rPr>
          <w:rFonts w:ascii="Tahoma" w:eastAsia="Tahoma" w:hAnsi="Tahoma" w:cs="Tahoma"/>
          <w:sz w:val="22"/>
          <w:szCs w:val="22"/>
        </w:rPr>
        <w:t xml:space="preserve"> que recebemos por meio de reuniões e também durante as audiências públicas do Projeto de Lei em questão, na qual tentamos buscar uma solução para a situações complexas que existem </w:t>
      </w:r>
      <w:r w:rsidR="00D6557A" w:rsidRPr="00592941">
        <w:rPr>
          <w:rFonts w:ascii="Tahoma" w:eastAsia="Tahoma" w:hAnsi="Tahoma" w:cs="Tahoma"/>
          <w:sz w:val="22"/>
          <w:szCs w:val="22"/>
        </w:rPr>
        <w:t>entre à interação</w:t>
      </w:r>
      <w:r w:rsidRPr="00592941">
        <w:rPr>
          <w:rFonts w:ascii="Tahoma" w:eastAsia="Tahoma" w:hAnsi="Tahoma" w:cs="Tahoma"/>
          <w:sz w:val="22"/>
          <w:szCs w:val="22"/>
        </w:rPr>
        <w:t xml:space="preserve"> da sociedade com o meio ambiente, ligado ao desenvolvimento econômico. </w:t>
      </w:r>
    </w:p>
    <w:p w:rsidR="00592941" w:rsidRPr="00592941" w:rsidRDefault="00592941" w:rsidP="00592941">
      <w:pPr>
        <w:spacing w:line="276" w:lineRule="auto"/>
        <w:jc w:val="both"/>
        <w:rPr>
          <w:rFonts w:ascii="Tahoma" w:eastAsiaTheme="minorHAnsi" w:hAnsi="Tahoma" w:cs="Tahoma"/>
          <w:sz w:val="22"/>
          <w:szCs w:val="22"/>
        </w:rPr>
      </w:pPr>
      <w:r w:rsidRPr="00592941">
        <w:rPr>
          <w:rFonts w:ascii="Tahoma" w:eastAsiaTheme="minorHAnsi" w:hAnsi="Tahoma" w:cs="Tahoma"/>
          <w:sz w:val="22"/>
          <w:szCs w:val="22"/>
        </w:rPr>
        <w:t>A</w:t>
      </w:r>
      <w:r w:rsidRPr="00592941">
        <w:rPr>
          <w:rFonts w:ascii="Tahoma" w:hAnsi="Tahoma" w:cs="Tahoma"/>
          <w:sz w:val="22"/>
          <w:szCs w:val="22"/>
        </w:rPr>
        <w:t xml:space="preserve"> Resolução CONAMA nº 303, de 20 de março de 2002, que “</w:t>
      </w:r>
      <w:r w:rsidRPr="00592941">
        <w:rPr>
          <w:rFonts w:ascii="Tahoma" w:eastAsiaTheme="minorHAnsi" w:hAnsi="Tahoma" w:cs="Tahoma"/>
          <w:sz w:val="22"/>
          <w:szCs w:val="22"/>
        </w:rPr>
        <w:t xml:space="preserve">Dispõe sobre parâmetros, definições e limites de Áreas de Preservação Permanente”, determina, desde 2002, que a restinga situada em uma faixa de 300 metros é área </w:t>
      </w:r>
      <w:proofErr w:type="gramStart"/>
      <w:r w:rsidRPr="00592941">
        <w:rPr>
          <w:rFonts w:ascii="Tahoma" w:eastAsiaTheme="minorHAnsi" w:hAnsi="Tahoma" w:cs="Tahoma"/>
          <w:sz w:val="22"/>
          <w:szCs w:val="22"/>
        </w:rPr>
        <w:t>de  preservação</w:t>
      </w:r>
      <w:proofErr w:type="gramEnd"/>
      <w:r w:rsidRPr="00592941">
        <w:rPr>
          <w:rFonts w:ascii="Tahoma" w:eastAsiaTheme="minorHAnsi" w:hAnsi="Tahoma" w:cs="Tahoma"/>
          <w:sz w:val="22"/>
          <w:szCs w:val="22"/>
        </w:rPr>
        <w:t xml:space="preserve"> permanente, medida a partir da linha de preamar máxima.</w:t>
      </w:r>
    </w:p>
    <w:p w:rsidR="00592941" w:rsidRPr="00592941" w:rsidRDefault="00592941" w:rsidP="00592941">
      <w:pPr>
        <w:spacing w:line="276" w:lineRule="auto"/>
        <w:jc w:val="both"/>
        <w:rPr>
          <w:rFonts w:ascii="Tahoma" w:eastAsiaTheme="minorHAnsi"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43"/>
        <w:gridCol w:w="9807"/>
      </w:tblGrid>
      <w:tr w:rsidR="00592941" w:rsidRPr="00C83DCF" w:rsidTr="00A67F01">
        <w:tc>
          <w:tcPr>
            <w:tcW w:w="443" w:type="dxa"/>
            <w:shd w:val="clear" w:color="auto" w:fill="auto"/>
          </w:tcPr>
          <w:p w:rsidR="00592941" w:rsidRPr="00C83DCF" w:rsidRDefault="00592941" w:rsidP="00A67F01">
            <w:pPr>
              <w:rPr>
                <w:rFonts w:ascii="Arial" w:eastAsia="Calibri" w:hAnsi="Arial" w:cs="Arial"/>
                <w:sz w:val="20"/>
              </w:rPr>
            </w:pPr>
          </w:p>
        </w:tc>
        <w:tc>
          <w:tcPr>
            <w:tcW w:w="9817" w:type="dxa"/>
            <w:shd w:val="clear" w:color="auto" w:fill="auto"/>
          </w:tcPr>
          <w:p w:rsidR="00592941" w:rsidRPr="00C83DCF" w:rsidRDefault="00592941" w:rsidP="00A67F01">
            <w:pPr>
              <w:jc w:val="center"/>
              <w:rPr>
                <w:rFonts w:ascii="Arial" w:eastAsia="Calibri" w:hAnsi="Arial" w:cs="Arial"/>
                <w:b/>
                <w:sz w:val="20"/>
              </w:rPr>
            </w:pPr>
            <w:r w:rsidRPr="00C83DCF">
              <w:rPr>
                <w:rFonts w:ascii="Arial" w:eastAsia="Calibri" w:hAnsi="Arial" w:cs="Arial"/>
                <w:b/>
                <w:sz w:val="20"/>
                <w:szCs w:val="22"/>
              </w:rPr>
              <w:t>RESOLUÇÃO CONAMA Nº 303, DE 20 DE MARÇO DE 2002</w:t>
            </w:r>
          </w:p>
          <w:p w:rsidR="00592941" w:rsidRPr="00C83DCF" w:rsidRDefault="00592941" w:rsidP="00A67F01">
            <w:pPr>
              <w:jc w:val="both"/>
              <w:rPr>
                <w:rFonts w:ascii="Arial" w:eastAsia="Calibri" w:hAnsi="Arial" w:cs="Arial"/>
                <w:sz w:val="20"/>
              </w:rPr>
            </w:pPr>
            <w:r w:rsidRPr="00C83DCF">
              <w:rPr>
                <w:rFonts w:ascii="Arial" w:eastAsia="Calibri" w:hAnsi="Arial" w:cs="Arial"/>
                <w:sz w:val="20"/>
                <w:szCs w:val="22"/>
              </w:rPr>
              <w:t>Dispõe sobre parâmetros, definições e limites de Áreas de Preservação Permanente.</w:t>
            </w:r>
          </w:p>
        </w:tc>
      </w:tr>
      <w:tr w:rsidR="00592941" w:rsidRPr="00C83DCF" w:rsidTr="00A67F01">
        <w:tc>
          <w:tcPr>
            <w:tcW w:w="443" w:type="dxa"/>
            <w:shd w:val="clear" w:color="auto" w:fill="auto"/>
          </w:tcPr>
          <w:p w:rsidR="00592941" w:rsidRPr="00C83DCF" w:rsidRDefault="00592941" w:rsidP="00A67F01">
            <w:pPr>
              <w:rPr>
                <w:rFonts w:ascii="Arial" w:eastAsia="Calibri" w:hAnsi="Arial" w:cs="Arial"/>
                <w:sz w:val="20"/>
              </w:rPr>
            </w:pPr>
          </w:p>
        </w:tc>
        <w:tc>
          <w:tcPr>
            <w:tcW w:w="9817" w:type="dxa"/>
            <w:shd w:val="clear" w:color="auto" w:fill="auto"/>
          </w:tcPr>
          <w:p w:rsidR="00592941" w:rsidRPr="00C83DCF" w:rsidRDefault="00592941" w:rsidP="00A67F01">
            <w:pPr>
              <w:jc w:val="both"/>
              <w:rPr>
                <w:rFonts w:ascii="Arial" w:eastAsia="Calibri" w:hAnsi="Arial" w:cs="Arial"/>
                <w:sz w:val="20"/>
              </w:rPr>
            </w:pPr>
            <w:r w:rsidRPr="00C83DCF">
              <w:rPr>
                <w:rFonts w:ascii="Arial" w:eastAsia="Calibri" w:hAnsi="Arial" w:cs="Arial"/>
                <w:sz w:val="20"/>
                <w:szCs w:val="22"/>
              </w:rPr>
              <w:t xml:space="preserve">Art. 1º Constitui objeto da presente Resolução o estabelecimento de </w:t>
            </w:r>
            <w:proofErr w:type="gramStart"/>
            <w:r w:rsidRPr="00C83DCF">
              <w:rPr>
                <w:rFonts w:ascii="Arial" w:eastAsia="Calibri" w:hAnsi="Arial" w:cs="Arial"/>
                <w:sz w:val="20"/>
                <w:szCs w:val="22"/>
              </w:rPr>
              <w:t>parâmetros,definições</w:t>
            </w:r>
            <w:proofErr w:type="gramEnd"/>
            <w:r w:rsidRPr="00C83DCF">
              <w:rPr>
                <w:rFonts w:ascii="Arial" w:eastAsia="Calibri" w:hAnsi="Arial" w:cs="Arial"/>
                <w:sz w:val="20"/>
                <w:szCs w:val="22"/>
              </w:rPr>
              <w:t xml:space="preserve"> e limites referentes às Áreas de Preservação Permanente.</w:t>
            </w:r>
          </w:p>
        </w:tc>
      </w:tr>
      <w:tr w:rsidR="00592941" w:rsidRPr="00C83DCF" w:rsidTr="00A67F01">
        <w:tc>
          <w:tcPr>
            <w:tcW w:w="443" w:type="dxa"/>
            <w:shd w:val="clear" w:color="auto" w:fill="auto"/>
          </w:tcPr>
          <w:p w:rsidR="00592941" w:rsidRPr="00C83DCF" w:rsidRDefault="00592941" w:rsidP="00A67F01">
            <w:pPr>
              <w:rPr>
                <w:rFonts w:ascii="Arial" w:eastAsia="Calibri" w:hAnsi="Arial" w:cs="Arial"/>
                <w:sz w:val="20"/>
              </w:rPr>
            </w:pPr>
          </w:p>
        </w:tc>
        <w:tc>
          <w:tcPr>
            <w:tcW w:w="9817" w:type="dxa"/>
            <w:shd w:val="clear" w:color="auto" w:fill="auto"/>
          </w:tcPr>
          <w:p w:rsidR="00592941" w:rsidRPr="00C83DCF" w:rsidRDefault="00592941" w:rsidP="00A67F01">
            <w:pPr>
              <w:jc w:val="both"/>
              <w:rPr>
                <w:rFonts w:ascii="Arial" w:eastAsia="Calibri" w:hAnsi="Arial" w:cs="Arial"/>
                <w:sz w:val="20"/>
              </w:rPr>
            </w:pPr>
            <w:r w:rsidRPr="00C83DCF">
              <w:rPr>
                <w:rFonts w:ascii="Arial" w:eastAsia="Calibri" w:hAnsi="Arial" w:cs="Arial"/>
                <w:sz w:val="20"/>
                <w:szCs w:val="22"/>
              </w:rPr>
              <w:t>Art. 2º Para os efeitos desta Resolução, são adotadas as seguintes definições:</w:t>
            </w:r>
          </w:p>
          <w:p w:rsidR="00592941" w:rsidRPr="00C83DCF" w:rsidRDefault="00592941" w:rsidP="00A67F01">
            <w:pPr>
              <w:jc w:val="both"/>
              <w:rPr>
                <w:rFonts w:ascii="Arial" w:eastAsia="Calibri" w:hAnsi="Arial" w:cs="Arial"/>
                <w:sz w:val="20"/>
              </w:rPr>
            </w:pPr>
            <w:r w:rsidRPr="00C83DCF">
              <w:rPr>
                <w:rFonts w:ascii="Arial" w:eastAsia="Calibri" w:hAnsi="Arial" w:cs="Arial"/>
                <w:sz w:val="20"/>
                <w:szCs w:val="22"/>
              </w:rPr>
              <w:t xml:space="preserve">VIII - restinga: depósito arenoso paralelo a linha da costa, de forma geralmente alongada, produzido por processos de sedimentação, onde se encontram diferentes comunidades que recebem influência marinha, também consideradas comunidades edáficas por dependerem mais da natureza do substrato do que do clima. A cobertura vegetal nas restingas ocorrem mosaico, e encontra-se em praias, cordões arenosos, dunas e depressões, apresentando, de acordo com o estágio </w:t>
            </w:r>
            <w:proofErr w:type="spellStart"/>
            <w:r w:rsidRPr="00C83DCF">
              <w:rPr>
                <w:rFonts w:ascii="Arial" w:eastAsia="Calibri" w:hAnsi="Arial" w:cs="Arial"/>
                <w:sz w:val="20"/>
                <w:szCs w:val="22"/>
              </w:rPr>
              <w:t>sucessional</w:t>
            </w:r>
            <w:proofErr w:type="spellEnd"/>
            <w:r w:rsidRPr="00C83DCF">
              <w:rPr>
                <w:rFonts w:ascii="Arial" w:eastAsia="Calibri" w:hAnsi="Arial" w:cs="Arial"/>
                <w:sz w:val="20"/>
                <w:szCs w:val="22"/>
              </w:rPr>
              <w:t xml:space="preserve">, estrato herbáceo, arbustivos e arbóreo, este último mais interiorizado; </w:t>
            </w:r>
          </w:p>
        </w:tc>
      </w:tr>
      <w:tr w:rsidR="00592941" w:rsidRPr="00C83DCF" w:rsidTr="00A67F01">
        <w:tc>
          <w:tcPr>
            <w:tcW w:w="443" w:type="dxa"/>
            <w:shd w:val="clear" w:color="auto" w:fill="auto"/>
          </w:tcPr>
          <w:p w:rsidR="00592941" w:rsidRPr="00C83DCF" w:rsidRDefault="00592941" w:rsidP="00A67F01">
            <w:pPr>
              <w:rPr>
                <w:rFonts w:ascii="Arial" w:eastAsia="Calibri" w:hAnsi="Arial" w:cs="Arial"/>
                <w:sz w:val="20"/>
              </w:rPr>
            </w:pPr>
          </w:p>
        </w:tc>
        <w:tc>
          <w:tcPr>
            <w:tcW w:w="9817" w:type="dxa"/>
            <w:shd w:val="clear" w:color="auto" w:fill="auto"/>
          </w:tcPr>
          <w:p w:rsidR="00592941" w:rsidRPr="00C83DCF" w:rsidRDefault="00592941" w:rsidP="00A67F01">
            <w:pPr>
              <w:rPr>
                <w:rFonts w:ascii="Arial" w:eastAsia="Calibri" w:hAnsi="Arial" w:cs="Arial"/>
                <w:sz w:val="20"/>
              </w:rPr>
            </w:pPr>
            <w:r w:rsidRPr="00C83DCF">
              <w:rPr>
                <w:rFonts w:ascii="Arial" w:eastAsia="Calibri" w:hAnsi="Arial" w:cs="Arial"/>
                <w:sz w:val="20"/>
                <w:szCs w:val="22"/>
              </w:rPr>
              <w:t>IX - nas restingas:</w:t>
            </w:r>
          </w:p>
          <w:p w:rsidR="00592941" w:rsidRPr="00C83DCF" w:rsidRDefault="00592941" w:rsidP="00A67F01">
            <w:pPr>
              <w:rPr>
                <w:rFonts w:ascii="Arial" w:eastAsia="Calibri" w:hAnsi="Arial" w:cs="Arial"/>
                <w:sz w:val="20"/>
              </w:rPr>
            </w:pPr>
            <w:r w:rsidRPr="00C83DCF">
              <w:rPr>
                <w:rFonts w:ascii="Arial" w:eastAsia="Calibri" w:hAnsi="Arial" w:cs="Arial"/>
                <w:sz w:val="20"/>
                <w:szCs w:val="22"/>
              </w:rPr>
              <w:t>a) em faixa mínima de trezentos metros, medidos a partir da linha de preamar máxima;</w:t>
            </w:r>
          </w:p>
        </w:tc>
      </w:tr>
    </w:tbl>
    <w:p w:rsidR="00592941" w:rsidRPr="00C83DCF" w:rsidRDefault="00592941" w:rsidP="00592941">
      <w:pPr>
        <w:spacing w:line="276" w:lineRule="auto"/>
        <w:jc w:val="both"/>
        <w:rPr>
          <w:rFonts w:ascii="Arial" w:eastAsiaTheme="minorHAnsi" w:hAnsi="Arial" w:cs="Arial"/>
          <w:sz w:val="22"/>
          <w:szCs w:val="22"/>
        </w:rPr>
      </w:pPr>
      <w:r w:rsidRPr="00C83DCF">
        <w:rPr>
          <w:rFonts w:ascii="Arial" w:eastAsiaTheme="minorHAnsi" w:hAnsi="Arial" w:cs="Arial"/>
          <w:sz w:val="22"/>
          <w:szCs w:val="22"/>
        </w:rPr>
        <w:t xml:space="preserve">Ressalta-se as decisões do Supremo Tribunal Federal datadas de novembro de 2020 e de dezembro de 2021 ratificaram a validade da referida Resolução.O STF decidiu por unanimidade declarar inconstitucional uma resolução do Conselho Nacional do Meio Ambiente que revogava normas de proteção de áreas de manguezais e de restingas. A decisão foi tomada na 3ª feira (14.dez.2021), em julgamento pelo plenário virtual da Corte. </w:t>
      </w:r>
    </w:p>
    <w:p w:rsidR="00592941" w:rsidRPr="00C83DCF" w:rsidRDefault="00592941" w:rsidP="00592941">
      <w:pPr>
        <w:jc w:val="both"/>
        <w:rPr>
          <w:rFonts w:ascii="Arial" w:eastAsiaTheme="minorHAnsi" w:hAnsi="Arial" w:cs="Arial"/>
          <w:sz w:val="22"/>
          <w:szCs w:val="22"/>
        </w:rPr>
      </w:pPr>
    </w:p>
    <w:p w:rsidR="00592941" w:rsidRPr="00C83DCF" w:rsidRDefault="00592941" w:rsidP="00592941">
      <w:pPr>
        <w:jc w:val="both"/>
        <w:rPr>
          <w:rFonts w:ascii="Arial" w:eastAsiaTheme="minorHAnsi" w:hAnsi="Arial" w:cs="Arial"/>
          <w:sz w:val="22"/>
          <w:szCs w:val="22"/>
        </w:rPr>
      </w:pPr>
      <w:r w:rsidRPr="00C83DCF">
        <w:rPr>
          <w:rFonts w:ascii="Arial" w:eastAsiaTheme="minorHAnsi" w:hAnsi="Arial" w:cs="Arial"/>
          <w:sz w:val="22"/>
          <w:szCs w:val="22"/>
        </w:rPr>
        <w:t xml:space="preserve">Resumo da decisão e os documentos podem ser obtidos no link abaixo </w:t>
      </w:r>
    </w:p>
    <w:p w:rsidR="00592941" w:rsidRPr="00C83DCF" w:rsidRDefault="00E365DB" w:rsidP="00592941">
      <w:pPr>
        <w:jc w:val="both"/>
        <w:rPr>
          <w:rFonts w:ascii="Arial" w:eastAsiaTheme="minorHAnsi" w:hAnsi="Arial" w:cs="Arial"/>
          <w:sz w:val="22"/>
          <w:szCs w:val="22"/>
        </w:rPr>
      </w:pPr>
      <w:hyperlink r:id="rId7" w:history="1">
        <w:r w:rsidR="00592941" w:rsidRPr="00C83DCF">
          <w:rPr>
            <w:rStyle w:val="Hyperlink"/>
            <w:rFonts w:ascii="Arial" w:eastAsiaTheme="minorHAnsi" w:hAnsi="Arial" w:cs="Arial"/>
            <w:sz w:val="22"/>
            <w:szCs w:val="22"/>
          </w:rPr>
          <w:t>https://portal.stf.jus.br/noticias/verNoticiaDetalhe.asp?idConteudo=456265&amp;ori=1</w:t>
        </w:r>
      </w:hyperlink>
    </w:p>
    <w:p w:rsidR="00592941" w:rsidRPr="00C83DCF" w:rsidRDefault="00592941" w:rsidP="00592941">
      <w:pPr>
        <w:jc w:val="both"/>
        <w:rPr>
          <w:rFonts w:ascii="Arial" w:eastAsiaTheme="minorHAnsi" w:hAnsi="Arial" w:cs="Arial"/>
          <w:sz w:val="22"/>
          <w:szCs w:val="22"/>
        </w:rPr>
      </w:pPr>
    </w:p>
    <w:p w:rsidR="00592941" w:rsidRPr="00C83DCF" w:rsidRDefault="00592941" w:rsidP="00592941">
      <w:pPr>
        <w:jc w:val="both"/>
        <w:rPr>
          <w:rFonts w:ascii="Arial" w:eastAsiaTheme="minorHAnsi" w:hAnsi="Arial" w:cs="Arial"/>
          <w:sz w:val="22"/>
          <w:szCs w:val="22"/>
        </w:rPr>
      </w:pPr>
      <w:r w:rsidRPr="00C83DCF">
        <w:rPr>
          <w:rFonts w:ascii="Arial" w:hAnsi="Arial" w:cs="Arial"/>
          <w:sz w:val="22"/>
          <w:szCs w:val="22"/>
        </w:rPr>
        <w:lastRenderedPageBreak/>
        <w:t>O mapa da Lei de uso do, Solo deve exibir a Área de Preservação Permanente de Restinga correspondente à faixa de 300 metros.</w:t>
      </w:r>
    </w:p>
    <w:p w:rsidR="00592941" w:rsidRPr="00C83DCF" w:rsidRDefault="00592941" w:rsidP="00592941">
      <w:pPr>
        <w:jc w:val="both"/>
        <w:rPr>
          <w:rFonts w:ascii="Arial" w:hAnsi="Arial" w:cs="Arial"/>
          <w:sz w:val="22"/>
          <w:szCs w:val="22"/>
        </w:rPr>
      </w:pPr>
    </w:p>
    <w:p w:rsidR="00592941" w:rsidRPr="00C83DCF" w:rsidRDefault="00592941" w:rsidP="00592941">
      <w:pPr>
        <w:jc w:val="both"/>
        <w:rPr>
          <w:rFonts w:ascii="Arial" w:hAnsi="Arial" w:cs="Arial"/>
          <w:sz w:val="22"/>
          <w:szCs w:val="22"/>
        </w:rPr>
      </w:pPr>
      <w:r w:rsidRPr="00C83DCF">
        <w:rPr>
          <w:rFonts w:ascii="Arial" w:hAnsi="Arial" w:cs="Arial"/>
          <w:sz w:val="22"/>
          <w:szCs w:val="22"/>
        </w:rPr>
        <w:t xml:space="preserve">Deste modo, o PL da Lei de Uso do Solo tem obrigação de cumprir a determinação  </w:t>
      </w:r>
    </w:p>
    <w:p w:rsidR="00592941" w:rsidRPr="00C83DCF" w:rsidRDefault="00592941" w:rsidP="00592941">
      <w:pPr>
        <w:jc w:val="both"/>
        <w:rPr>
          <w:rStyle w:val="Forte"/>
          <w:rFonts w:ascii="Arial" w:hAnsi="Arial" w:cs="Arial"/>
          <w:b w:val="0"/>
          <w:sz w:val="22"/>
          <w:szCs w:val="22"/>
        </w:rPr>
      </w:pPr>
    </w:p>
    <w:p w:rsidR="00592941" w:rsidRPr="00C83DCF" w:rsidRDefault="00592941" w:rsidP="00592941">
      <w:pPr>
        <w:pStyle w:val="SemEspaamento"/>
        <w:rPr>
          <w:rFonts w:ascii="Arial" w:hAnsi="Arial" w:cs="Arial"/>
        </w:rPr>
      </w:pPr>
      <w:r w:rsidRPr="00C83DCF">
        <w:rPr>
          <w:rFonts w:ascii="Arial" w:hAnsi="Arial" w:cs="Arial"/>
        </w:rPr>
        <w:t xml:space="preserve">Cabe mencionar ainda os seguintes itens do Projeto de Lei de Uso do Solo: </w:t>
      </w:r>
    </w:p>
    <w:p w:rsidR="00592941" w:rsidRPr="00C83DCF" w:rsidRDefault="00592941" w:rsidP="00592941">
      <w:pPr>
        <w:ind w:firstLine="708"/>
        <w:rPr>
          <w:rFonts w:ascii="Arial" w:eastAsiaTheme="minorHAnsi" w:hAnsi="Arial" w:cs="Arial"/>
          <w:sz w:val="22"/>
          <w:szCs w:val="22"/>
        </w:rPr>
      </w:pPr>
    </w:p>
    <w:p w:rsidR="00592941" w:rsidRPr="00C83DCF" w:rsidRDefault="00592941" w:rsidP="00592941">
      <w:pPr>
        <w:pStyle w:val="SemEspaamento"/>
        <w:rPr>
          <w:rFonts w:ascii="Arial" w:hAnsi="Arial" w:cs="Arial"/>
        </w:rPr>
      </w:pPr>
      <w:r w:rsidRPr="00C83DCF">
        <w:rPr>
          <w:rFonts w:ascii="Arial" w:hAnsi="Arial" w:cs="Arial"/>
        </w:rPr>
        <w:t>Art. 14. As Zonas de Uso correspondem a porções do território nas quais incidem parâmetros próprios de parcelamento, uso e ocupação do solo estabelecidos nos quadros anexos desta Lei.</w:t>
      </w:r>
    </w:p>
    <w:p w:rsidR="00592941" w:rsidRPr="00C83DCF" w:rsidRDefault="00592941" w:rsidP="00592941">
      <w:pPr>
        <w:pStyle w:val="SemEspaamento"/>
        <w:rPr>
          <w:rFonts w:ascii="Arial" w:hAnsi="Arial" w:cs="Arial"/>
        </w:rPr>
      </w:pPr>
    </w:p>
    <w:p w:rsidR="00592941" w:rsidRPr="00C83DCF" w:rsidRDefault="00592941" w:rsidP="00592941">
      <w:pPr>
        <w:pStyle w:val="SemEspaamento"/>
        <w:rPr>
          <w:rFonts w:ascii="Arial" w:hAnsi="Arial" w:cs="Arial"/>
        </w:rPr>
      </w:pPr>
      <w:r w:rsidRPr="00C83DCF">
        <w:rPr>
          <w:rFonts w:ascii="Arial" w:hAnsi="Arial" w:cs="Arial"/>
        </w:rPr>
        <w:t>§ 5º - Nos espaços territoriais especialmente protegidos, a exemplo de áreas de preservação permanente e unidades de conservação já existentes ou que vierem a ser instituídas, deverão ser observadas as restrições de cunho ambiental pelas legislações federal, estadual e municipal</w:t>
      </w:r>
    </w:p>
    <w:p w:rsidR="00592941" w:rsidRPr="008F0D25" w:rsidRDefault="00592941" w:rsidP="00592941">
      <w:pPr>
        <w:pStyle w:val="SemEspaamento"/>
        <w:rPr>
          <w:rFonts w:ascii="Arial" w:hAnsi="Arial" w:cs="Arial"/>
        </w:rPr>
      </w:pPr>
    </w:p>
    <w:p w:rsidR="00592941" w:rsidRPr="008F0D25" w:rsidRDefault="00592941" w:rsidP="00592941">
      <w:pPr>
        <w:pStyle w:val="SemEspaamento"/>
        <w:rPr>
          <w:rFonts w:ascii="Arial" w:hAnsi="Arial" w:cs="Arial"/>
        </w:rPr>
      </w:pPr>
      <w:r w:rsidRPr="008F0D25">
        <w:rPr>
          <w:rFonts w:ascii="Arial" w:hAnsi="Arial" w:cs="Arial"/>
        </w:rPr>
        <w:t>Art. 20. As Zonas de Uso que compõem os Territórios de Preservação são:</w:t>
      </w:r>
    </w:p>
    <w:p w:rsidR="00592941" w:rsidRPr="008F0D25" w:rsidRDefault="00592941" w:rsidP="00592941">
      <w:pPr>
        <w:pStyle w:val="SemEspaamento"/>
        <w:rPr>
          <w:rFonts w:ascii="Arial" w:hAnsi="Arial" w:cs="Arial"/>
        </w:rPr>
      </w:pPr>
    </w:p>
    <w:p w:rsidR="00592941" w:rsidRPr="008F0D25" w:rsidRDefault="00592941" w:rsidP="00592941">
      <w:pPr>
        <w:pStyle w:val="SemEspaamento"/>
        <w:spacing w:line="276" w:lineRule="auto"/>
        <w:jc w:val="both"/>
        <w:rPr>
          <w:rFonts w:ascii="Arial" w:hAnsi="Arial" w:cs="Arial"/>
        </w:rPr>
      </w:pPr>
      <w:r w:rsidRPr="008F0D25">
        <w:rPr>
          <w:rFonts w:ascii="Arial" w:hAnsi="Arial" w:cs="Arial"/>
        </w:rPr>
        <w:t>IV - Zona de Preservação Ambiental (ZPA) são porções do território consideradas de preservação permanente e/ou definidas como unidades de conservação de proteção integral, onde não são permitidas quaisquer atividades que importem na alteração do meio ambiente, assim como novas edificações, parcelamento do solo, abertura de vias, aterros ou cortes de terreno, cortes de vegetação nativa, extração mineral, soltura de animais domésticos, introdução de plantas exóticas ou quaisquer tipos de exploração de recursos naturais, sendo permitidas apenas a realização de pesquisas científicas, estudos diagnósticos, quantitativo e qualitativo das espécies vegetais e arbóreas, identificação e extração de espécies invasoras, reflorestamento com espécies nativas da Mata Atlântica, monitoramento e conservação e o desenvolvimento de atividades relacionadas à educação e interpretação ambiental, de recreação em contato com a natureza de turismo ecológico e abertura de trilhas;</w:t>
      </w:r>
    </w:p>
    <w:p w:rsidR="003E5D1D" w:rsidRDefault="00393178" w:rsidP="00CD3640">
      <w:pPr>
        <w:pBdr>
          <w:top w:val="none" w:sz="0" w:space="0" w:color="000000"/>
          <w:left w:val="none" w:sz="0" w:space="0" w:color="000000"/>
          <w:bottom w:val="none" w:sz="0" w:space="11" w:color="000000"/>
          <w:right w:val="none" w:sz="0" w:space="0" w:color="000000"/>
        </w:pBdr>
        <w:shd w:val="clear" w:color="auto" w:fill="FFFFFF"/>
        <w:spacing w:line="276" w:lineRule="auto"/>
        <w:ind w:firstLine="720"/>
        <w:jc w:val="both"/>
        <w:rPr>
          <w:rFonts w:ascii="Tahoma" w:eastAsia="Tahoma" w:hAnsi="Tahoma" w:cs="Tahoma"/>
        </w:rPr>
      </w:pPr>
      <w:r>
        <w:rPr>
          <w:rFonts w:ascii="Tahoma" w:eastAsia="Tahoma" w:hAnsi="Tahoma" w:cs="Tahoma"/>
        </w:rPr>
        <w:t>Assim, a presente emenda visa auxiliar na regulamentação das diretrizes estabelecidas no Plano Dir</w:t>
      </w:r>
      <w:r w:rsidR="00E201CA">
        <w:rPr>
          <w:rFonts w:ascii="Tahoma" w:eastAsia="Tahoma" w:hAnsi="Tahoma" w:cs="Tahoma"/>
        </w:rPr>
        <w:t xml:space="preserve">etor </w:t>
      </w:r>
      <w:r>
        <w:rPr>
          <w:rFonts w:ascii="Tahoma" w:eastAsia="Tahoma" w:hAnsi="Tahoma" w:cs="Tahoma"/>
        </w:rPr>
        <w:t xml:space="preserve">de Niterói, no ordenamento e direcionamento da expansão urbana no Município, com a proteção da ambiência urbana e das áreas verdes, apontando pontos que precisam ser assegurados, buscando o </w:t>
      </w:r>
      <w:r w:rsidR="00D6557A">
        <w:rPr>
          <w:rFonts w:ascii="Tahoma" w:eastAsia="Tahoma" w:hAnsi="Tahoma" w:cs="Tahoma"/>
        </w:rPr>
        <w:t>melhor ordenamento</w:t>
      </w:r>
      <w:r>
        <w:rPr>
          <w:rFonts w:ascii="Tahoma" w:eastAsia="Tahoma" w:hAnsi="Tahoma" w:cs="Tahoma"/>
        </w:rPr>
        <w:t xml:space="preserve"> e direcionamento da expansão urbana na cidade.</w:t>
      </w:r>
    </w:p>
    <w:p w:rsidR="00CD3640" w:rsidRDefault="00393178" w:rsidP="00CD3640">
      <w:pPr>
        <w:pBdr>
          <w:top w:val="none" w:sz="0" w:space="0" w:color="000000"/>
          <w:left w:val="none" w:sz="0" w:space="0" w:color="000000"/>
          <w:bottom w:val="none" w:sz="0" w:space="11" w:color="000000"/>
          <w:right w:val="none" w:sz="0" w:space="0" w:color="000000"/>
        </w:pBdr>
        <w:shd w:val="clear" w:color="auto" w:fill="FFFFFF"/>
        <w:spacing w:line="276" w:lineRule="auto"/>
        <w:ind w:firstLine="720"/>
        <w:jc w:val="both"/>
        <w:rPr>
          <w:rFonts w:ascii="Tahoma" w:eastAsia="Tahoma" w:hAnsi="Tahoma" w:cs="Tahoma"/>
        </w:rPr>
      </w:pPr>
      <w:r>
        <w:rPr>
          <w:rFonts w:ascii="Tahoma" w:eastAsia="Tahoma" w:hAnsi="Tahoma" w:cs="Tahoma"/>
        </w:rPr>
        <w:t xml:space="preserve">O Município de Niterói deve ter um compromisso com as próximas gerações, entregando uma cidade economicamente mais desenvolvida, socialmente justa e ambientalmente preservada. </w:t>
      </w:r>
    </w:p>
    <w:p w:rsidR="00EF76D3" w:rsidRDefault="00393178" w:rsidP="00CD3640">
      <w:pPr>
        <w:pBdr>
          <w:top w:val="none" w:sz="0" w:space="0" w:color="000000"/>
          <w:left w:val="none" w:sz="0" w:space="0" w:color="000000"/>
          <w:bottom w:val="none" w:sz="0" w:space="11" w:color="000000"/>
          <w:right w:val="none" w:sz="0" w:space="0" w:color="000000"/>
        </w:pBdr>
        <w:shd w:val="clear" w:color="auto" w:fill="FFFFFF"/>
        <w:spacing w:line="276" w:lineRule="auto"/>
        <w:ind w:firstLine="720"/>
        <w:jc w:val="both"/>
        <w:rPr>
          <w:rFonts w:ascii="Tahoma" w:eastAsia="Tahoma" w:hAnsi="Tahoma" w:cs="Tahoma"/>
          <w:sz w:val="22"/>
          <w:szCs w:val="22"/>
        </w:rPr>
      </w:pPr>
      <w:r>
        <w:rPr>
          <w:rFonts w:ascii="Tahoma" w:eastAsia="Tahoma" w:hAnsi="Tahoma" w:cs="Tahoma"/>
        </w:rPr>
        <w:t>Dessa forma, essa emenda se faz necessária, para resguardar fatores mínimos adequados na proteção da fauna e da flor</w:t>
      </w:r>
      <w:r w:rsidR="00D81AED">
        <w:rPr>
          <w:rFonts w:ascii="Tahoma" w:eastAsia="Tahoma" w:hAnsi="Tahoma" w:cs="Tahoma"/>
        </w:rPr>
        <w:t>a, assim conto com o apoio dos n</w:t>
      </w:r>
      <w:r>
        <w:rPr>
          <w:rFonts w:ascii="Tahoma" w:eastAsia="Tahoma" w:hAnsi="Tahoma" w:cs="Tahoma"/>
        </w:rPr>
        <w:t xml:space="preserve">obres </w:t>
      </w:r>
      <w:r w:rsidR="00D81AED">
        <w:rPr>
          <w:rFonts w:ascii="Tahoma" w:eastAsia="Tahoma" w:hAnsi="Tahoma" w:cs="Tahoma"/>
        </w:rPr>
        <w:t>p</w:t>
      </w:r>
      <w:r>
        <w:rPr>
          <w:rFonts w:ascii="Tahoma" w:eastAsia="Tahoma" w:hAnsi="Tahoma" w:cs="Tahoma"/>
        </w:rPr>
        <w:t>ares para aprovação da presente emenda.</w:t>
      </w:r>
    </w:p>
    <w:sectPr w:rsidR="00EF76D3" w:rsidSect="002A13EC">
      <w:headerReference w:type="default" r:id="rId8"/>
      <w:footerReference w:type="default" r:id="rId9"/>
      <w:pgSz w:w="11905" w:h="16837"/>
      <w:pgMar w:top="1134" w:right="706" w:bottom="1134" w:left="1005"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65DB" w:rsidRDefault="00E365DB">
      <w:r>
        <w:separator/>
      </w:r>
    </w:p>
  </w:endnote>
  <w:endnote w:type="continuationSeparator" w:id="0">
    <w:p w:rsidR="00E365DB" w:rsidRDefault="00E36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339" w:rsidRPr="00A74339" w:rsidRDefault="00A74339">
    <w:pPr>
      <w:pStyle w:val="Rodap"/>
      <w:rPr>
        <w:rFonts w:ascii="Tahoma" w:hAnsi="Tahoma" w:cs="Tahoma"/>
        <w:b/>
        <w:sz w:val="16"/>
        <w:szCs w:val="16"/>
      </w:rPr>
    </w:pPr>
    <w:r w:rsidRPr="00A74339">
      <w:rPr>
        <w:rFonts w:ascii="Tahoma" w:hAnsi="Tahoma" w:cs="Tahoma"/>
        <w:b/>
        <w:sz w:val="16"/>
        <w:szCs w:val="16"/>
      </w:rPr>
      <w:t xml:space="preserve">Ref. Emenda aditiva que </w:t>
    </w:r>
    <w:r w:rsidRPr="00A74339">
      <w:rPr>
        <w:rFonts w:ascii="Tahoma" w:eastAsia="Tahoma" w:hAnsi="Tahoma" w:cs="Tahoma"/>
        <w:b/>
        <w:sz w:val="16"/>
        <w:szCs w:val="16"/>
      </w:rPr>
      <w:t xml:space="preserve">Acrescenta </w:t>
    </w:r>
    <w:r w:rsidRPr="00592941">
      <w:rPr>
        <w:rFonts w:ascii="Tahoma" w:eastAsia="Tahoma" w:hAnsi="Tahoma" w:cs="Tahoma"/>
        <w:b/>
        <w:sz w:val="16"/>
        <w:szCs w:val="16"/>
      </w:rPr>
      <w:t xml:space="preserve">o </w:t>
    </w:r>
    <w:r w:rsidR="00592941" w:rsidRPr="00592941">
      <w:rPr>
        <w:rFonts w:ascii="Tahoma" w:eastAsia="Tahoma" w:hAnsi="Tahoma" w:cs="Tahoma"/>
        <w:b/>
        <w:sz w:val="16"/>
        <w:szCs w:val="16"/>
      </w:rPr>
      <w:t xml:space="preserve">§ 6º, ao Art. 226, </w:t>
    </w:r>
    <w:r w:rsidR="00592941" w:rsidRPr="00592941">
      <w:rPr>
        <w:rFonts w:ascii="Tahoma" w:hAnsi="Tahoma" w:cs="Tahoma"/>
        <w:b/>
        <w:sz w:val="16"/>
        <w:szCs w:val="16"/>
      </w:rPr>
      <w:t xml:space="preserve">ZPA – Frente Marítima </w:t>
    </w:r>
    <w:proofErr w:type="spellStart"/>
    <w:r w:rsidR="00592941" w:rsidRPr="00592941">
      <w:rPr>
        <w:rFonts w:ascii="Tahoma" w:hAnsi="Tahoma" w:cs="Tahoma"/>
        <w:b/>
        <w:sz w:val="16"/>
        <w:szCs w:val="16"/>
      </w:rPr>
      <w:t>Camboinhas</w:t>
    </w:r>
    <w:proofErr w:type="spellEnd"/>
    <w:r w:rsidR="00592941" w:rsidRPr="00592941">
      <w:rPr>
        <w:rFonts w:ascii="Tahoma" w:hAnsi="Tahoma" w:cs="Tahoma"/>
        <w:b/>
        <w:sz w:val="16"/>
        <w:szCs w:val="16"/>
      </w:rPr>
      <w:t xml:space="preserve"> – </w:t>
    </w:r>
    <w:proofErr w:type="spellStart"/>
    <w:r w:rsidR="00592941" w:rsidRPr="00592941">
      <w:rPr>
        <w:rFonts w:ascii="Tahoma" w:hAnsi="Tahoma" w:cs="Tahoma"/>
        <w:b/>
        <w:sz w:val="16"/>
        <w:szCs w:val="16"/>
      </w:rPr>
      <w:t>Itaipú</w:t>
    </w:r>
    <w:proofErr w:type="spellEnd"/>
    <w:r w:rsidRPr="00592941">
      <w:rPr>
        <w:rFonts w:ascii="Tahoma" w:eastAsia="Tahoma" w:hAnsi="Tahoma" w:cs="Tahoma"/>
        <w:b/>
        <w:sz w:val="16"/>
        <w:szCs w:val="16"/>
      </w:rPr>
      <w:t>, ao Projeto de Lei Nº 00221/2023</w:t>
    </w:r>
    <w:r w:rsidRPr="00BE2646">
      <w:rPr>
        <w:rFonts w:ascii="Tahoma" w:eastAsia="Tahoma" w:hAnsi="Tahoma" w:cs="Tahoma"/>
        <w:b/>
        <w:sz w:val="16"/>
        <w:szCs w:val="16"/>
      </w:rPr>
      <w:t>, lei urbanística de Niterói</w:t>
    </w:r>
    <w:r w:rsidRPr="00A74339">
      <w:rPr>
        <w:rFonts w:ascii="Tahoma" w:eastAsia="Tahoma" w:hAnsi="Tahoma" w:cs="Tahoma"/>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65DB" w:rsidRDefault="00E365DB">
      <w:r>
        <w:separator/>
      </w:r>
    </w:p>
  </w:footnote>
  <w:footnote w:type="continuationSeparator" w:id="0">
    <w:p w:rsidR="00E365DB" w:rsidRDefault="00E365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6D3" w:rsidRDefault="00EF76D3">
    <w:pPr>
      <w:pBdr>
        <w:top w:val="nil"/>
        <w:left w:val="nil"/>
        <w:bottom w:val="nil"/>
        <w:right w:val="nil"/>
        <w:between w:val="nil"/>
      </w:pBdr>
      <w:spacing w:line="276" w:lineRule="auto"/>
      <w:rPr>
        <w:rFonts w:ascii="Tahoma" w:eastAsia="Tahoma" w:hAnsi="Tahoma" w:cs="Tahoma"/>
        <w:sz w:val="22"/>
        <w:szCs w:val="22"/>
      </w:rPr>
    </w:pPr>
  </w:p>
  <w:tbl>
    <w:tblPr>
      <w:tblStyle w:val="a8"/>
      <w:tblW w:w="9648" w:type="dxa"/>
      <w:tblInd w:w="108" w:type="dxa"/>
      <w:tblLayout w:type="fixed"/>
      <w:tblLook w:val="0000" w:firstRow="0" w:lastRow="0" w:firstColumn="0" w:lastColumn="0" w:noHBand="0" w:noVBand="0"/>
    </w:tblPr>
    <w:tblGrid>
      <w:gridCol w:w="1728"/>
      <w:gridCol w:w="7920"/>
    </w:tblGrid>
    <w:tr w:rsidR="00EF76D3">
      <w:trPr>
        <w:trHeight w:val="1971"/>
      </w:trPr>
      <w:tc>
        <w:tcPr>
          <w:tcW w:w="1728" w:type="dxa"/>
        </w:tcPr>
        <w:p w:rsidR="00EF76D3" w:rsidRDefault="00393178">
          <w:pPr>
            <w:pBdr>
              <w:top w:val="nil"/>
              <w:left w:val="nil"/>
              <w:bottom w:val="nil"/>
              <w:right w:val="nil"/>
              <w:between w:val="nil"/>
            </w:pBdr>
            <w:tabs>
              <w:tab w:val="center" w:pos="4252"/>
              <w:tab w:val="right" w:pos="8504"/>
            </w:tabs>
            <w:rPr>
              <w:rFonts w:ascii="Arial" w:eastAsia="Arial" w:hAnsi="Arial" w:cs="Arial"/>
              <w:color w:val="000000"/>
            </w:rPr>
          </w:pPr>
          <w:r>
            <w:rPr>
              <w:rFonts w:eastAsia="Times New Roman"/>
              <w:noProof/>
              <w:color w:val="000000"/>
              <w:lang w:eastAsia="pt-BR"/>
            </w:rPr>
            <w:drawing>
              <wp:inline distT="0" distB="0" distL="0" distR="0">
                <wp:extent cx="933450" cy="11239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920" w:type="dxa"/>
        </w:tcPr>
        <w:p w:rsidR="00EF76D3" w:rsidRDefault="00EF76D3">
          <w:pPr>
            <w:pBdr>
              <w:top w:val="nil"/>
              <w:left w:val="nil"/>
              <w:bottom w:val="nil"/>
              <w:right w:val="nil"/>
              <w:between w:val="nil"/>
            </w:pBdr>
            <w:tabs>
              <w:tab w:val="center" w:pos="4252"/>
              <w:tab w:val="right" w:pos="8504"/>
            </w:tabs>
            <w:rPr>
              <w:rFonts w:ascii="Arial" w:eastAsia="Arial" w:hAnsi="Arial" w:cs="Arial"/>
              <w:color w:val="000000"/>
            </w:rPr>
          </w:pPr>
        </w:p>
        <w:p w:rsidR="00EF76D3" w:rsidRDefault="00EF76D3">
          <w:pPr>
            <w:pBdr>
              <w:top w:val="nil"/>
              <w:left w:val="nil"/>
              <w:bottom w:val="nil"/>
              <w:right w:val="nil"/>
              <w:between w:val="nil"/>
            </w:pBdr>
            <w:tabs>
              <w:tab w:val="center" w:pos="4252"/>
              <w:tab w:val="right" w:pos="8504"/>
            </w:tabs>
            <w:rPr>
              <w:rFonts w:ascii="Arial" w:eastAsia="Arial" w:hAnsi="Arial" w:cs="Arial"/>
              <w:color w:val="000000"/>
            </w:rPr>
          </w:pPr>
        </w:p>
        <w:p w:rsidR="00EF76D3" w:rsidRDefault="00393178">
          <w:pPr>
            <w:pBdr>
              <w:top w:val="nil"/>
              <w:left w:val="nil"/>
              <w:bottom w:val="nil"/>
              <w:right w:val="nil"/>
              <w:between w:val="nil"/>
            </w:pBdr>
            <w:tabs>
              <w:tab w:val="center" w:pos="4252"/>
              <w:tab w:val="right" w:pos="8504"/>
            </w:tabs>
            <w:jc w:val="center"/>
            <w:rPr>
              <w:rFonts w:ascii="Tahoma" w:eastAsia="Tahoma" w:hAnsi="Tahoma" w:cs="Tahoma"/>
              <w:b/>
              <w:color w:val="000000"/>
              <w:sz w:val="48"/>
              <w:szCs w:val="48"/>
            </w:rPr>
          </w:pPr>
          <w:r>
            <w:rPr>
              <w:rFonts w:ascii="Tahoma" w:eastAsia="Tahoma" w:hAnsi="Tahoma" w:cs="Tahoma"/>
              <w:b/>
              <w:color w:val="000000"/>
              <w:sz w:val="48"/>
              <w:szCs w:val="48"/>
            </w:rPr>
            <w:t>Câmara Municipal de Niterói</w:t>
          </w:r>
        </w:p>
        <w:p w:rsidR="00EF76D3" w:rsidRDefault="00EF76D3">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rsidR="00EF76D3" w:rsidRDefault="00421A45" w:rsidP="003D5998">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sidRPr="00421A45">
            <w:rPr>
              <w:rFonts w:ascii="Tahoma" w:eastAsia="Tahoma" w:hAnsi="Tahoma" w:cs="Tahoma"/>
              <w:b/>
              <w:sz w:val="28"/>
              <w:szCs w:val="20"/>
            </w:rPr>
            <w:t>MESA DIRETORA</w:t>
          </w:r>
        </w:p>
      </w:tc>
    </w:tr>
  </w:tbl>
  <w:p w:rsidR="00EF76D3" w:rsidRDefault="00EF76D3">
    <w:pPr>
      <w:pBdr>
        <w:top w:val="nil"/>
        <w:left w:val="nil"/>
        <w:bottom w:val="nil"/>
        <w:right w:val="nil"/>
        <w:between w:val="nil"/>
      </w:pBdr>
      <w:tabs>
        <w:tab w:val="center" w:pos="4252"/>
        <w:tab w:val="right" w:pos="8504"/>
      </w:tabs>
      <w:rPr>
        <w:rFonts w:eastAsia="Times New Roman"/>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6D3"/>
    <w:rsid w:val="00057622"/>
    <w:rsid w:val="00097F22"/>
    <w:rsid w:val="001073AE"/>
    <w:rsid w:val="002A13EC"/>
    <w:rsid w:val="00393178"/>
    <w:rsid w:val="003D5998"/>
    <w:rsid w:val="003E5D1D"/>
    <w:rsid w:val="00421A45"/>
    <w:rsid w:val="004B66D5"/>
    <w:rsid w:val="00532075"/>
    <w:rsid w:val="00592941"/>
    <w:rsid w:val="005E3386"/>
    <w:rsid w:val="00615632"/>
    <w:rsid w:val="007047DA"/>
    <w:rsid w:val="00737B08"/>
    <w:rsid w:val="008B3570"/>
    <w:rsid w:val="00A74339"/>
    <w:rsid w:val="00B0788D"/>
    <w:rsid w:val="00B87961"/>
    <w:rsid w:val="00B90909"/>
    <w:rsid w:val="00BE2646"/>
    <w:rsid w:val="00CA577F"/>
    <w:rsid w:val="00CD3640"/>
    <w:rsid w:val="00D6557A"/>
    <w:rsid w:val="00D81AED"/>
    <w:rsid w:val="00E0429C"/>
    <w:rsid w:val="00E201CA"/>
    <w:rsid w:val="00E365DB"/>
    <w:rsid w:val="00EF76D3"/>
    <w:rsid w:val="00F634A4"/>
    <w:rsid w:val="00F74F69"/>
    <w:rsid w:val="00FC168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F78431C-6350-4594-8B02-29106A367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981"/>
    <w:pPr>
      <w:suppressAutoHyphens/>
    </w:pPr>
    <w:rPr>
      <w:rFonts w:eastAsia="Lucida Sans Unicode"/>
      <w:kern w:val="1"/>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2">
    <w:name w:val="heading 2"/>
    <w:basedOn w:val="Normal"/>
    <w:next w:val="Normal"/>
    <w:rsid w:val="002A13EC"/>
    <w:pPr>
      <w:keepNext/>
      <w:keepLines/>
      <w:spacing w:before="360" w:after="80"/>
      <w:outlineLvl w:val="1"/>
    </w:pPr>
    <w:rPr>
      <w:b/>
      <w:sz w:val="36"/>
      <w:szCs w:val="36"/>
    </w:rPr>
  </w:style>
  <w:style w:type="paragraph" w:styleId="Ttulo3">
    <w:name w:val="heading 3"/>
    <w:basedOn w:val="Normal"/>
    <w:next w:val="Normal"/>
    <w:rsid w:val="002A13EC"/>
    <w:pPr>
      <w:keepNext/>
      <w:keepLines/>
      <w:spacing w:before="280" w:after="80"/>
      <w:outlineLvl w:val="2"/>
    </w:pPr>
    <w:rPr>
      <w:b/>
      <w:sz w:val="28"/>
      <w:szCs w:val="28"/>
    </w:rPr>
  </w:style>
  <w:style w:type="paragraph" w:styleId="Ttulo4">
    <w:name w:val="heading 4"/>
    <w:basedOn w:val="Normal"/>
    <w:next w:val="Normal"/>
    <w:rsid w:val="002A13EC"/>
    <w:pPr>
      <w:keepNext/>
      <w:keepLines/>
      <w:spacing w:before="240" w:after="40"/>
      <w:outlineLvl w:val="3"/>
    </w:pPr>
    <w:rPr>
      <w:b/>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paragraph" w:styleId="Ttulo6">
    <w:name w:val="heading 6"/>
    <w:basedOn w:val="Normal"/>
    <w:next w:val="Normal"/>
    <w:rsid w:val="002A13EC"/>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2A13EC"/>
    <w:tblPr>
      <w:tblCellMar>
        <w:top w:w="0" w:type="dxa"/>
        <w:left w:w="0" w:type="dxa"/>
        <w:bottom w:w="0" w:type="dxa"/>
        <w:right w:w="0" w:type="dxa"/>
      </w:tblCellMar>
    </w:tblPr>
  </w:style>
  <w:style w:type="paragraph" w:styleId="Ttulo">
    <w:name w:val="Title"/>
    <w:basedOn w:val="Normal"/>
    <w:next w:val="Normal"/>
    <w:rsid w:val="002A13EC"/>
    <w:pPr>
      <w:keepNext/>
      <w:keepLines/>
      <w:spacing w:before="480" w:after="120"/>
    </w:pPr>
    <w:rPr>
      <w:b/>
      <w:sz w:val="72"/>
      <w:szCs w:val="72"/>
    </w:rPr>
  </w:style>
  <w:style w:type="table" w:customStyle="1" w:styleId="TableNormal0">
    <w:name w:val="Table Normal"/>
    <w:rsid w:val="002A13EC"/>
    <w:tblPr>
      <w:tblCellMar>
        <w:top w:w="0" w:type="dxa"/>
        <w:left w:w="0" w:type="dxa"/>
        <w:bottom w:w="0" w:type="dxa"/>
        <w:right w:w="0" w:type="dxa"/>
      </w:tblCellMar>
    </w:tblPr>
  </w:style>
  <w:style w:type="table" w:customStyle="1" w:styleId="TableNormal1">
    <w:name w:val="Table Normal"/>
    <w:rsid w:val="002A13EC"/>
    <w:tblPr>
      <w:tblCellMar>
        <w:top w:w="0" w:type="dxa"/>
        <w:left w:w="0" w:type="dxa"/>
        <w:bottom w:w="0" w:type="dxa"/>
        <w:right w:w="0" w:type="dxa"/>
      </w:tblCellMar>
    </w:tblPr>
  </w:style>
  <w:style w:type="table" w:customStyle="1" w:styleId="TableNormal2">
    <w:name w:val="Table Normal"/>
    <w:rsid w:val="002A13EC"/>
    <w:tblPr>
      <w:tblCellMar>
        <w:top w:w="0" w:type="dxa"/>
        <w:left w:w="0" w:type="dxa"/>
        <w:bottom w:w="0" w:type="dxa"/>
        <w:right w:w="0" w:type="dxa"/>
      </w:tblCellMar>
    </w:tblPr>
  </w:style>
  <w:style w:type="table" w:customStyle="1" w:styleId="TableNormal3">
    <w:name w:val="Table Normal"/>
    <w:rsid w:val="002A13EC"/>
    <w:tblPr>
      <w:tblCellMar>
        <w:top w:w="0" w:type="dxa"/>
        <w:left w:w="0" w:type="dxa"/>
        <w:bottom w:w="0" w:type="dxa"/>
        <w:right w:w="0" w:type="dxa"/>
      </w:tblCellMar>
    </w:tblPr>
  </w:style>
  <w:style w:type="table" w:customStyle="1" w:styleId="TableNormal4">
    <w:name w:val="Table Normal"/>
    <w:rsid w:val="002A13EC"/>
    <w:tblPr>
      <w:tblCellMar>
        <w:top w:w="0" w:type="dxa"/>
        <w:left w:w="0" w:type="dxa"/>
        <w:bottom w:w="0" w:type="dxa"/>
        <w:right w:w="0" w:type="dxa"/>
      </w:tblCellMar>
    </w:tblPr>
  </w:style>
  <w:style w:type="table" w:customStyle="1" w:styleId="TableNormal5">
    <w:name w:val="Table Normal"/>
    <w:rsid w:val="002A13EC"/>
    <w:tblPr>
      <w:tblCellMar>
        <w:top w:w="0" w:type="dxa"/>
        <w:left w:w="0" w:type="dxa"/>
        <w:bottom w:w="0" w:type="dxa"/>
        <w:right w:w="0" w:type="dxa"/>
      </w:tblCellMar>
    </w:tblPr>
  </w:style>
  <w:style w:type="table" w:customStyle="1" w:styleId="TableNormal6">
    <w:name w:val="Table Normal"/>
    <w:rsid w:val="002A13EC"/>
    <w:tblPr>
      <w:tblCellMar>
        <w:top w:w="0" w:type="dxa"/>
        <w:left w:w="0" w:type="dxa"/>
        <w:bottom w:w="0" w:type="dxa"/>
        <w:right w:w="0" w:type="dxa"/>
      </w:tblCellMar>
    </w:tblPr>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0">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a1">
    <w:name w:val="Data1"/>
    <w:basedOn w:val="Fontepargpadro"/>
    <w:rsid w:val="00C046F9"/>
  </w:style>
  <w:style w:type="character" w:customStyle="1" w:styleId="meta-reading-time">
    <w:name w:val="meta-reading-time"/>
    <w:basedOn w:val="Fontepargpadro"/>
    <w:rsid w:val="00C046F9"/>
  </w:style>
  <w:style w:type="paragraph" w:styleId="Subttulo">
    <w:name w:val="Subtitle"/>
    <w:basedOn w:val="Normal"/>
    <w:next w:val="Normal"/>
    <w:rsid w:val="002A13EC"/>
    <w:pPr>
      <w:keepNext/>
      <w:keepLines/>
      <w:spacing w:before="360" w:after="80"/>
    </w:pPr>
    <w:rPr>
      <w:rFonts w:ascii="Georgia" w:eastAsia="Georgia" w:hAnsi="Georgia" w:cs="Georgia"/>
      <w:i/>
      <w:color w:val="666666"/>
      <w:sz w:val="48"/>
      <w:szCs w:val="48"/>
    </w:rPr>
  </w:style>
  <w:style w:type="table" w:customStyle="1" w:styleId="a">
    <w:basedOn w:val="TableNormal6"/>
    <w:rsid w:val="002A13EC"/>
    <w:tblPr>
      <w:tblStyleRowBandSize w:val="1"/>
      <w:tblStyleColBandSize w:val="1"/>
      <w:tblCellMar>
        <w:top w:w="0" w:type="dxa"/>
        <w:left w:w="115" w:type="dxa"/>
        <w:bottom w:w="0" w:type="dxa"/>
        <w:right w:w="115" w:type="dxa"/>
      </w:tblCellMar>
    </w:tblPr>
  </w:style>
  <w:style w:type="table" w:customStyle="1" w:styleId="a0">
    <w:basedOn w:val="TableNormal6"/>
    <w:rsid w:val="002A13EC"/>
    <w:tblPr>
      <w:tblStyleRowBandSize w:val="1"/>
      <w:tblStyleColBandSize w:val="1"/>
      <w:tblCellMar>
        <w:top w:w="0" w:type="dxa"/>
        <w:left w:w="115" w:type="dxa"/>
        <w:bottom w:w="0" w:type="dxa"/>
        <w:right w:w="115" w:type="dxa"/>
      </w:tblCellMar>
    </w:tblPr>
  </w:style>
  <w:style w:type="table" w:customStyle="1" w:styleId="a1">
    <w:basedOn w:val="TableNormal6"/>
    <w:rsid w:val="002A13EC"/>
    <w:tblPr>
      <w:tblStyleRowBandSize w:val="1"/>
      <w:tblStyleColBandSize w:val="1"/>
      <w:tblCellMar>
        <w:top w:w="0" w:type="dxa"/>
        <w:left w:w="115" w:type="dxa"/>
        <w:bottom w:w="0" w:type="dxa"/>
        <w:right w:w="115" w:type="dxa"/>
      </w:tblCellMar>
    </w:tblPr>
  </w:style>
  <w:style w:type="table" w:customStyle="1" w:styleId="a2">
    <w:basedOn w:val="TableNormal6"/>
    <w:rsid w:val="002A13EC"/>
    <w:tblPr>
      <w:tblStyleRowBandSize w:val="1"/>
      <w:tblStyleColBandSize w:val="1"/>
      <w:tblCellMar>
        <w:top w:w="100" w:type="dxa"/>
        <w:left w:w="100" w:type="dxa"/>
        <w:bottom w:w="100" w:type="dxa"/>
        <w:right w:w="100" w:type="dxa"/>
      </w:tblCellMar>
    </w:tblPr>
  </w:style>
  <w:style w:type="table" w:customStyle="1" w:styleId="a3">
    <w:basedOn w:val="TableNormal6"/>
    <w:rsid w:val="002A13EC"/>
    <w:tblPr>
      <w:tblStyleRowBandSize w:val="1"/>
      <w:tblStyleColBandSize w:val="1"/>
      <w:tblCellMar>
        <w:top w:w="100" w:type="dxa"/>
        <w:left w:w="100" w:type="dxa"/>
        <w:bottom w:w="100" w:type="dxa"/>
        <w:right w:w="100" w:type="dxa"/>
      </w:tblCellMar>
    </w:tblPr>
  </w:style>
  <w:style w:type="table" w:customStyle="1" w:styleId="a4">
    <w:basedOn w:val="TableNormal6"/>
    <w:rsid w:val="002A13EC"/>
    <w:tblPr>
      <w:tblStyleRowBandSize w:val="1"/>
      <w:tblStyleColBandSize w:val="1"/>
      <w:tblCellMar>
        <w:top w:w="0" w:type="dxa"/>
        <w:left w:w="115" w:type="dxa"/>
        <w:bottom w:w="0" w:type="dxa"/>
        <w:right w:w="115" w:type="dxa"/>
      </w:tblCellMar>
    </w:tblPr>
  </w:style>
  <w:style w:type="table" w:customStyle="1" w:styleId="a5">
    <w:basedOn w:val="TableNormal6"/>
    <w:rsid w:val="002A13EC"/>
    <w:tblPr>
      <w:tblStyleRowBandSize w:val="1"/>
      <w:tblStyleColBandSize w:val="1"/>
      <w:tblCellMar>
        <w:top w:w="0" w:type="dxa"/>
        <w:left w:w="115" w:type="dxa"/>
        <w:bottom w:w="0" w:type="dxa"/>
        <w:right w:w="115" w:type="dxa"/>
      </w:tblCellMar>
    </w:tblPr>
  </w:style>
  <w:style w:type="table" w:customStyle="1" w:styleId="a6">
    <w:basedOn w:val="TableNormal6"/>
    <w:rsid w:val="002A13EC"/>
    <w:tblPr>
      <w:tblStyleRowBandSize w:val="1"/>
      <w:tblStyleColBandSize w:val="1"/>
      <w:tblCellMar>
        <w:top w:w="0" w:type="dxa"/>
        <w:left w:w="115" w:type="dxa"/>
        <w:bottom w:w="0" w:type="dxa"/>
        <w:right w:w="115" w:type="dxa"/>
      </w:tblCellMar>
    </w:tblPr>
  </w:style>
  <w:style w:type="table" w:customStyle="1" w:styleId="a7">
    <w:basedOn w:val="TableNormal6"/>
    <w:rsid w:val="002A13EC"/>
    <w:tblPr>
      <w:tblStyleRowBandSize w:val="1"/>
      <w:tblStyleColBandSize w:val="1"/>
      <w:tblCellMar>
        <w:top w:w="0" w:type="dxa"/>
        <w:left w:w="115" w:type="dxa"/>
        <w:bottom w:w="0" w:type="dxa"/>
        <w:right w:w="115" w:type="dxa"/>
      </w:tblCellMar>
    </w:tblPr>
  </w:style>
  <w:style w:type="table" w:customStyle="1" w:styleId="a8">
    <w:basedOn w:val="TableNormal6"/>
    <w:rsid w:val="002A13EC"/>
    <w:tblPr>
      <w:tblStyleRowBandSize w:val="1"/>
      <w:tblStyleColBandSize w:val="1"/>
      <w:tblCellMar>
        <w:top w:w="0" w:type="dxa"/>
        <w:left w:w="115" w:type="dxa"/>
        <w:bottom w:w="0" w:type="dxa"/>
        <w:right w:w="115" w:type="dxa"/>
      </w:tblCellMar>
    </w:tblPr>
  </w:style>
  <w:style w:type="paragraph" w:styleId="SemEspaamento">
    <w:name w:val="No Spacing"/>
    <w:link w:val="SemEspaamentoChar"/>
    <w:uiPriority w:val="1"/>
    <w:qFormat/>
    <w:rsid w:val="00CD3640"/>
    <w:pPr>
      <w:widowControl/>
    </w:pPr>
    <w:rPr>
      <w:rFonts w:asciiTheme="minorHAnsi" w:eastAsiaTheme="minorHAnsi" w:hAnsiTheme="minorHAnsi" w:cstheme="minorBidi"/>
      <w:sz w:val="22"/>
      <w:szCs w:val="22"/>
      <w:lang w:eastAsia="en-US"/>
    </w:rPr>
  </w:style>
  <w:style w:type="character" w:customStyle="1" w:styleId="SemEspaamentoChar">
    <w:name w:val="Sem Espaçamento Char"/>
    <w:basedOn w:val="Fontepargpadro"/>
    <w:link w:val="SemEspaamento"/>
    <w:uiPriority w:val="1"/>
    <w:rsid w:val="00CD3640"/>
    <w:rPr>
      <w:rFonts w:asciiTheme="minorHAnsi" w:eastAsiaTheme="minorHAnsi" w:hAnsiTheme="minorHAnsi" w:cstheme="minorBidi"/>
      <w:sz w:val="22"/>
      <w:szCs w:val="22"/>
      <w:lang w:eastAsia="en-US"/>
    </w:rPr>
  </w:style>
  <w:style w:type="character" w:styleId="Forte">
    <w:name w:val="Strong"/>
    <w:basedOn w:val="Fontepargpadro"/>
    <w:uiPriority w:val="22"/>
    <w:qFormat/>
    <w:rsid w:val="005929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ortal.stf.jus.br/noticias/verNoticiaDetalhe.asp?idConteudo=456265&amp;ori=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64efFok6mIg50lFEVQjgeG8mw==">AMUW2mXqEczbe1WKCc1XHMfpAnxMo62v8B3WJgNzVay98GCso2aC7endiZQA0gb3ePk40PzyeAFH3pJ66r0sMppuvjO8U9YkZzFW6N0PuFVMK1CkieW6Cdc=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1074</Words>
  <Characters>5805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Claudio</cp:lastModifiedBy>
  <cp:revision>2</cp:revision>
  <cp:lastPrinted>2024-03-05T17:40:00Z</cp:lastPrinted>
  <dcterms:created xsi:type="dcterms:W3CDTF">2024-03-05T17:41:00Z</dcterms:created>
  <dcterms:modified xsi:type="dcterms:W3CDTF">2024-03-05T17:41:00Z</dcterms:modified>
</cp:coreProperties>
</file>