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C577F" w:rsidRDefault="001B485C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Nº      /2024</w:t>
      </w:r>
    </w:p>
    <w:p w:rsidR="00FC577F" w:rsidRDefault="00FC577F">
      <w:pPr>
        <w:rPr>
          <w:rFonts w:ascii="Tahoma" w:eastAsia="Tahoma" w:hAnsi="Tahoma" w:cs="Tahoma"/>
          <w:b/>
          <w:sz w:val="22"/>
          <w:szCs w:val="22"/>
        </w:rPr>
      </w:pPr>
    </w:p>
    <w:p w:rsidR="00FC577F" w:rsidRDefault="001B485C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Modificativa ao Projeto de Lei Nº. 221/2023</w:t>
      </w:r>
    </w:p>
    <w:p w:rsidR="00FC577F" w:rsidRDefault="001B485C">
      <w:pPr>
        <w:ind w:left="6315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                   </w:t>
      </w:r>
    </w:p>
    <w:p w:rsidR="00FC577F" w:rsidRDefault="001B485C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                                                                                           </w:t>
      </w:r>
    </w:p>
    <w:p w:rsidR="00FC577F" w:rsidRDefault="00FC577F">
      <w:pPr>
        <w:jc w:val="center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>Modifica-se a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redação do Art. 119, Seção IV, CAPÍTULO I, TÍTULO V,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Das Áreas de Especial Interesse Pesqueiro para Áreas de Especial Interesse e modifica-se o texto,</w:t>
      </w:r>
      <w:r>
        <w:rPr>
          <w:rFonts w:ascii="Tahoma" w:eastAsia="Tahoma" w:hAnsi="Tahoma" w:cs="Tahoma"/>
          <w:sz w:val="22"/>
          <w:szCs w:val="22"/>
        </w:rPr>
        <w:t xml:space="preserve"> do Projeto de Lei Nº 221/2023,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C577F" w:rsidRDefault="00FC577F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</w:p>
    <w:p w:rsidR="000F6C60" w:rsidRDefault="000F6C60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Art.1º - Modifica-se o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>Art. 119, Seção IV, CAPÍTULO I, TÍTULO V,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b/>
          <w:sz w:val="22"/>
          <w:szCs w:val="22"/>
        </w:rPr>
        <w:t xml:space="preserve">Das Áreas de Especial Interesse Pesqueiro para Áreas de Especial Interesse, </w:t>
      </w:r>
      <w:r>
        <w:rPr>
          <w:rFonts w:ascii="Tahoma" w:eastAsia="Tahoma" w:hAnsi="Tahoma" w:cs="Tahoma"/>
          <w:sz w:val="22"/>
          <w:szCs w:val="22"/>
        </w:rPr>
        <w:t>do Projeto de Lei Nº 221/2023,</w:t>
      </w:r>
      <w:r>
        <w:rPr>
          <w:rFonts w:ascii="Tahoma" w:eastAsia="Tahoma" w:hAnsi="Tahoma" w:cs="Tahoma"/>
          <w:b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que passa a vigorar com a seguinte redação:</w:t>
      </w:r>
    </w:p>
    <w:p w:rsidR="000F6C60" w:rsidRDefault="000F6C60">
      <w:pP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FC577F" w:rsidRDefault="001B485C">
      <w:pPr>
        <w:spacing w:line="360" w:lineRule="auto"/>
        <w:ind w:left="720" w:firstLine="709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“Art. 119 As Áreas de Especial Interesse c</w:t>
      </w:r>
      <w:r>
        <w:rPr>
          <w:rFonts w:ascii="Tahoma" w:eastAsia="Tahoma" w:hAnsi="Tahoma" w:cs="Tahoma"/>
          <w:color w:val="000000"/>
          <w:sz w:val="22"/>
          <w:szCs w:val="22"/>
        </w:rPr>
        <w:t>ompreendem porções do território que demandam tratamento diferenciado por destacar determinadas peculiaridades, cumprindo funções especiais no planejamento e no ordenamento do território, complementando o zoneamento por meio de normas ou diretrizes específicas quanto ao uso e ocupação do solo, visando:</w:t>
      </w:r>
    </w:p>
    <w:p w:rsidR="00FC577F" w:rsidRDefault="001B485C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I - reconhecer a diversidade de áreas no processo de desenvolvimento urbano;</w:t>
      </w:r>
    </w:p>
    <w:p w:rsidR="000F6C60" w:rsidRDefault="000F6C60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II - identificar a ocorrência de áreas com vocações, potencialidades e problemáticas comuns;</w:t>
      </w:r>
    </w:p>
    <w:p w:rsidR="000F6C60" w:rsidRDefault="000F6C60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III - adotar medidas de controle ou estímulo de determinados usos e formas de </w:t>
      </w:r>
      <w:r>
        <w:rPr>
          <w:rFonts w:ascii="Tahoma" w:eastAsia="Tahoma" w:hAnsi="Tahoma" w:cs="Tahoma"/>
          <w:sz w:val="22"/>
          <w:szCs w:val="22"/>
        </w:rPr>
        <w:lastRenderedPageBreak/>
        <w:t>ocupação do solo em áreas da cidade.</w:t>
      </w:r>
    </w:p>
    <w:p w:rsidR="000F6C60" w:rsidRDefault="000F6C60">
      <w:pPr>
        <w:spacing w:line="360" w:lineRule="auto"/>
        <w:ind w:left="2280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spacing w:line="360" w:lineRule="auto"/>
        <w:ind w:left="720" w:firstLine="709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§ 1º Áreas de Especial Interesse Turístico</w:t>
      </w:r>
      <w:r w:rsidR="004F730D">
        <w:rPr>
          <w:rFonts w:ascii="Tahoma" w:eastAsia="Tahoma" w:hAnsi="Tahoma" w:cs="Tahoma"/>
          <w:sz w:val="22"/>
          <w:szCs w:val="22"/>
        </w:rPr>
        <w:t xml:space="preserve"> Ambiental</w:t>
      </w:r>
      <w:r>
        <w:rPr>
          <w:rFonts w:ascii="Tahoma" w:eastAsia="Tahoma" w:hAnsi="Tahoma" w:cs="Tahoma"/>
          <w:sz w:val="22"/>
          <w:szCs w:val="22"/>
        </w:rPr>
        <w:t xml:space="preserve"> - </w:t>
      </w:r>
      <w:r>
        <w:rPr>
          <w:rFonts w:ascii="Tahoma" w:eastAsia="Tahoma" w:hAnsi="Tahoma" w:cs="Tahoma"/>
          <w:b/>
          <w:sz w:val="22"/>
          <w:szCs w:val="22"/>
        </w:rPr>
        <w:t>AEIT</w:t>
      </w:r>
      <w:r w:rsidR="004F730D">
        <w:rPr>
          <w:rFonts w:ascii="Tahoma" w:eastAsia="Tahoma" w:hAnsi="Tahoma" w:cs="Tahoma"/>
          <w:b/>
          <w:sz w:val="22"/>
          <w:szCs w:val="22"/>
        </w:rPr>
        <w:t>A</w:t>
      </w:r>
      <w:r>
        <w:rPr>
          <w:rFonts w:ascii="Tahoma" w:eastAsia="Tahoma" w:hAnsi="Tahoma" w:cs="Tahoma"/>
          <w:sz w:val="22"/>
          <w:szCs w:val="22"/>
        </w:rPr>
        <w:t>, são porções do território</w:t>
      </w:r>
      <w:proofErr w:type="gramStart"/>
      <w:r>
        <w:rPr>
          <w:rFonts w:ascii="Tahoma" w:eastAsia="Tahoma" w:hAnsi="Tahoma" w:cs="Tahoma"/>
          <w:sz w:val="22"/>
          <w:szCs w:val="22"/>
        </w:rPr>
        <w:t>, ,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onde há interesse público de aproveitar o potencial turístico</w:t>
      </w:r>
      <w:r w:rsidR="000F6C60">
        <w:rPr>
          <w:rFonts w:ascii="Tahoma" w:eastAsia="Tahoma" w:hAnsi="Tahoma" w:cs="Tahoma"/>
          <w:sz w:val="22"/>
          <w:szCs w:val="22"/>
        </w:rPr>
        <w:t xml:space="preserve"> ambiental</w:t>
      </w:r>
      <w:r>
        <w:rPr>
          <w:rFonts w:ascii="Tahoma" w:eastAsia="Tahoma" w:hAnsi="Tahoma" w:cs="Tahoma"/>
          <w:sz w:val="22"/>
          <w:szCs w:val="22"/>
        </w:rPr>
        <w:t xml:space="preserve"> e de lazer, fazendo-se necessários investimentos, regulamentações e intervenções específicas segundo as características próprias da atividade turística</w:t>
      </w:r>
      <w:r w:rsidR="004F730D">
        <w:rPr>
          <w:rFonts w:ascii="Tahoma" w:eastAsia="Tahoma" w:hAnsi="Tahoma" w:cs="Tahoma"/>
          <w:sz w:val="22"/>
          <w:szCs w:val="22"/>
        </w:rPr>
        <w:t xml:space="preserve"> ambiental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FC577F" w:rsidRDefault="00FC577F">
      <w:pPr>
        <w:spacing w:line="360" w:lineRule="auto"/>
        <w:ind w:left="720"/>
        <w:jc w:val="both"/>
        <w:rPr>
          <w:rFonts w:ascii="Tahoma" w:eastAsia="Tahoma" w:hAnsi="Tahoma" w:cs="Tahoma"/>
          <w:sz w:val="22"/>
          <w:szCs w:val="22"/>
        </w:rPr>
      </w:pPr>
    </w:p>
    <w:p w:rsidR="004F730D" w:rsidRDefault="001B485C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I- </w:t>
      </w:r>
      <w:r w:rsidR="004F730D">
        <w:rPr>
          <w:rFonts w:ascii="Tahoma" w:eastAsia="Tahoma" w:hAnsi="Tahoma" w:cs="Tahoma"/>
          <w:sz w:val="22"/>
          <w:szCs w:val="22"/>
        </w:rPr>
        <w:t xml:space="preserve">Fica delimitado conforme o mapa em anexo a </w:t>
      </w:r>
      <w:r w:rsidR="004F730D">
        <w:rPr>
          <w:rFonts w:ascii="Tahoma" w:eastAsia="Tahoma" w:hAnsi="Tahoma" w:cs="Tahoma"/>
          <w:b/>
          <w:sz w:val="22"/>
          <w:szCs w:val="22"/>
        </w:rPr>
        <w:t>AEITA de Camboinhas e Itaipu;</w:t>
      </w:r>
    </w:p>
    <w:p w:rsidR="000F6C60" w:rsidRDefault="000F6C60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</w:p>
    <w:p w:rsidR="00FC577F" w:rsidRDefault="004F730D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II - </w:t>
      </w:r>
      <w:r w:rsidR="001B485C">
        <w:rPr>
          <w:rFonts w:ascii="Tahoma" w:eastAsia="Tahoma" w:hAnsi="Tahoma" w:cs="Tahoma"/>
          <w:sz w:val="22"/>
          <w:szCs w:val="22"/>
        </w:rPr>
        <w:t xml:space="preserve">Na </w:t>
      </w:r>
      <w:r w:rsidR="001B485C" w:rsidRPr="000F6C60">
        <w:rPr>
          <w:rFonts w:ascii="Tahoma" w:eastAsia="Tahoma" w:hAnsi="Tahoma" w:cs="Tahoma"/>
          <w:sz w:val="22"/>
          <w:szCs w:val="22"/>
        </w:rPr>
        <w:t>AEIT</w:t>
      </w:r>
      <w:r w:rsidRPr="000F6C60">
        <w:rPr>
          <w:rFonts w:ascii="Tahoma" w:eastAsia="Tahoma" w:hAnsi="Tahoma" w:cs="Tahoma"/>
          <w:sz w:val="22"/>
          <w:szCs w:val="22"/>
        </w:rPr>
        <w:t>A</w:t>
      </w:r>
      <w:r w:rsidR="001B485C" w:rsidRPr="000F6C60"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>será</w:t>
      </w:r>
      <w:r w:rsidR="001B485C">
        <w:rPr>
          <w:rFonts w:ascii="Tahoma" w:eastAsia="Tahoma" w:hAnsi="Tahoma" w:cs="Tahoma"/>
          <w:sz w:val="22"/>
          <w:szCs w:val="22"/>
        </w:rPr>
        <w:t xml:space="preserve"> permitido o uso de lazer e recreação assim como trilhas, mirantes, comércio e serviços ligados diretamente às atividades turísticas</w:t>
      </w:r>
      <w:r>
        <w:rPr>
          <w:rFonts w:ascii="Tahoma" w:eastAsia="Tahoma" w:hAnsi="Tahoma" w:cs="Tahoma"/>
          <w:sz w:val="22"/>
          <w:szCs w:val="22"/>
        </w:rPr>
        <w:t xml:space="preserve"> ambiental</w:t>
      </w:r>
      <w:r w:rsidR="001B485C">
        <w:rPr>
          <w:rFonts w:ascii="Tahoma" w:eastAsia="Tahoma" w:hAnsi="Tahoma" w:cs="Tahoma"/>
          <w:sz w:val="22"/>
          <w:szCs w:val="22"/>
        </w:rPr>
        <w:t xml:space="preserve">; </w:t>
      </w:r>
    </w:p>
    <w:p w:rsidR="000F6C60" w:rsidRDefault="000F6C60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spacing w:line="360" w:lineRule="auto"/>
        <w:ind w:left="2138"/>
        <w:jc w:val="both"/>
        <w:rPr>
          <w:rFonts w:ascii="Tahoma" w:eastAsia="Tahoma" w:hAnsi="Tahoma" w:cs="Tahoma"/>
          <w:color w:val="000000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I</w:t>
      </w:r>
      <w:r w:rsidR="004F730D">
        <w:rPr>
          <w:rFonts w:ascii="Tahoma" w:eastAsia="Tahoma" w:hAnsi="Tahoma" w:cs="Tahoma"/>
          <w:sz w:val="22"/>
          <w:szCs w:val="22"/>
        </w:rPr>
        <w:t>II</w:t>
      </w:r>
      <w:r>
        <w:rPr>
          <w:rFonts w:ascii="Tahoma" w:eastAsia="Tahoma" w:hAnsi="Tahoma" w:cs="Tahoma"/>
          <w:sz w:val="22"/>
          <w:szCs w:val="22"/>
        </w:rPr>
        <w:t xml:space="preserve">- 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Fica o Poder Executivo autorizado a, por ato próprio, acrescentar </w:t>
      </w:r>
      <w:r w:rsidR="000F6C60">
        <w:rPr>
          <w:rFonts w:ascii="Tahoma" w:eastAsia="Tahoma" w:hAnsi="Tahoma" w:cs="Tahoma"/>
          <w:color w:val="000000"/>
          <w:sz w:val="22"/>
          <w:szCs w:val="22"/>
        </w:rPr>
        <w:t>AEITA</w:t>
      </w:r>
      <w:r>
        <w:rPr>
          <w:rFonts w:ascii="Tahoma" w:eastAsia="Tahoma" w:hAnsi="Tahoma" w:cs="Tahoma"/>
          <w:color w:val="000000"/>
          <w:sz w:val="22"/>
          <w:szCs w:val="22"/>
        </w:rPr>
        <w:t>, de acordo com as necessidades de garantias para as atividades turísticas</w:t>
      </w:r>
      <w:r w:rsidR="004F730D">
        <w:rPr>
          <w:rFonts w:ascii="Tahoma" w:eastAsia="Tahoma" w:hAnsi="Tahoma" w:cs="Tahoma"/>
          <w:color w:val="000000"/>
          <w:sz w:val="22"/>
          <w:szCs w:val="22"/>
        </w:rPr>
        <w:t xml:space="preserve"> Ambiental</w:t>
      </w:r>
      <w:r>
        <w:rPr>
          <w:rFonts w:ascii="Tahoma" w:eastAsia="Tahoma" w:hAnsi="Tahoma" w:cs="Tahoma"/>
          <w:color w:val="000000"/>
          <w:sz w:val="22"/>
          <w:szCs w:val="22"/>
        </w:rPr>
        <w:t>.</w:t>
      </w:r>
    </w:p>
    <w:p w:rsidR="000F6C60" w:rsidRDefault="000F6C60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IV - Fica o Poder Executivo autorizado a celebrar convênios com órgãos federais e estaduais de turismo, com objetivo de executar em conjunto programas de cooperação para as Áreas de Especial Interesse Turístico </w:t>
      </w:r>
      <w:r w:rsidR="004F730D">
        <w:rPr>
          <w:rFonts w:ascii="Tahoma" w:eastAsia="Tahoma" w:hAnsi="Tahoma" w:cs="Tahoma"/>
          <w:sz w:val="22"/>
          <w:szCs w:val="22"/>
        </w:rPr>
        <w:t xml:space="preserve">Ambiental </w:t>
      </w:r>
      <w:r>
        <w:rPr>
          <w:rFonts w:ascii="Tahoma" w:eastAsia="Tahoma" w:hAnsi="Tahoma" w:cs="Tahoma"/>
          <w:sz w:val="22"/>
          <w:szCs w:val="22"/>
        </w:rPr>
        <w:t xml:space="preserve">de Niterói. </w:t>
      </w:r>
    </w:p>
    <w:p w:rsidR="000F6C60" w:rsidRDefault="000F6C60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</w:p>
    <w:p w:rsidR="00692A54" w:rsidRDefault="00692A54">
      <w:pPr>
        <w:spacing w:line="360" w:lineRule="auto"/>
        <w:ind w:left="2138"/>
        <w:jc w:val="both"/>
        <w:rPr>
          <w:rFonts w:ascii="Tahoma" w:hAnsi="Tahoma" w:cs="Tahoma"/>
          <w:color w:val="333333"/>
          <w:shd w:val="clear" w:color="auto" w:fill="FFFFFF"/>
        </w:rPr>
      </w:pPr>
      <w:r>
        <w:rPr>
          <w:rFonts w:ascii="Tahoma" w:hAnsi="Tahoma" w:cs="Tahoma"/>
          <w:color w:val="333333"/>
          <w:shd w:val="clear" w:color="auto" w:fill="FFFFFF"/>
        </w:rPr>
        <w:t xml:space="preserve">V - </w:t>
      </w:r>
      <w:r w:rsidRPr="00692A54">
        <w:rPr>
          <w:rFonts w:ascii="Tahoma" w:hAnsi="Tahoma" w:cs="Tahoma"/>
          <w:color w:val="333333"/>
          <w:shd w:val="clear" w:color="auto" w:fill="FFFFFF"/>
        </w:rPr>
        <w:t xml:space="preserve">Na área a que se refere o </w:t>
      </w:r>
      <w:r>
        <w:rPr>
          <w:rFonts w:ascii="Tahoma" w:eastAsia="Tahoma" w:hAnsi="Tahoma" w:cs="Tahoma"/>
          <w:sz w:val="22"/>
          <w:szCs w:val="22"/>
        </w:rPr>
        <w:t>§ 1º</w:t>
      </w:r>
      <w:r w:rsidRPr="00692A54">
        <w:rPr>
          <w:rFonts w:ascii="Tahoma" w:hAnsi="Tahoma" w:cs="Tahoma"/>
          <w:color w:val="333333"/>
          <w:shd w:val="clear" w:color="auto" w:fill="FFFFFF"/>
        </w:rPr>
        <w:t xml:space="preserve">, quaisquer tipos de edificações e de alterações de uso condicionam-se ao interesse do Município em promover alterações urbanísticas, paisagísticas, de potenciais de construção relativos a novos instrumentos cujos padrões de ocupação serão objeto de </w:t>
      </w:r>
    </w:p>
    <w:p w:rsidR="00692A54" w:rsidRDefault="00692A54">
      <w:pPr>
        <w:spacing w:line="360" w:lineRule="auto"/>
        <w:ind w:left="2138"/>
        <w:jc w:val="both"/>
        <w:rPr>
          <w:rFonts w:ascii="Tahoma" w:hAnsi="Tahoma" w:cs="Tahoma"/>
          <w:color w:val="333333"/>
          <w:shd w:val="clear" w:color="auto" w:fill="FFFFFF"/>
        </w:rPr>
      </w:pPr>
      <w:proofErr w:type="gramStart"/>
      <w:r w:rsidRPr="00692A54">
        <w:rPr>
          <w:rFonts w:ascii="Tahoma" w:hAnsi="Tahoma" w:cs="Tahoma"/>
          <w:color w:val="333333"/>
          <w:shd w:val="clear" w:color="auto" w:fill="FFFFFF"/>
        </w:rPr>
        <w:t>estudo</w:t>
      </w:r>
      <w:proofErr w:type="gramEnd"/>
      <w:r w:rsidRPr="00692A54">
        <w:rPr>
          <w:rFonts w:ascii="Tahoma" w:hAnsi="Tahoma" w:cs="Tahoma"/>
          <w:color w:val="333333"/>
          <w:shd w:val="clear" w:color="auto" w:fill="FFFFFF"/>
        </w:rPr>
        <w:t xml:space="preserve"> pela Secretaria Municipal de Urbanismo E</w:t>
      </w:r>
      <w:r>
        <w:rPr>
          <w:rFonts w:ascii="Tahoma" w:hAnsi="Tahoma" w:cs="Tahoma"/>
          <w:color w:val="333333"/>
          <w:shd w:val="clear" w:color="auto" w:fill="FFFFFF"/>
        </w:rPr>
        <w:t xml:space="preserve">m conjunto com a Secretaria de Meio Ambiente Recursos </w:t>
      </w:r>
      <w:proofErr w:type="spellStart"/>
      <w:r>
        <w:rPr>
          <w:rFonts w:ascii="Tahoma" w:hAnsi="Tahoma" w:cs="Tahoma"/>
          <w:color w:val="333333"/>
          <w:shd w:val="clear" w:color="auto" w:fill="FFFFFF"/>
        </w:rPr>
        <w:t>Hidricos</w:t>
      </w:r>
      <w:proofErr w:type="spellEnd"/>
      <w:r>
        <w:rPr>
          <w:rFonts w:ascii="Tahoma" w:hAnsi="Tahoma" w:cs="Tahoma"/>
          <w:color w:val="333333"/>
          <w:shd w:val="clear" w:color="auto" w:fill="FFFFFF"/>
        </w:rPr>
        <w:t xml:space="preserve"> e Sustentabilidade, e com </w:t>
      </w:r>
      <w:r w:rsidRPr="00692A54">
        <w:rPr>
          <w:rFonts w:ascii="Tahoma" w:hAnsi="Tahoma" w:cs="Tahoma"/>
          <w:color w:val="333333"/>
          <w:shd w:val="clear" w:color="auto" w:fill="FFFFFF"/>
        </w:rPr>
        <w:t xml:space="preserve"> aprovação privativa pelo Prefeito do Município.</w:t>
      </w:r>
    </w:p>
    <w:p w:rsidR="00692A54" w:rsidRPr="00692A54" w:rsidRDefault="00692A54">
      <w:pPr>
        <w:spacing w:line="360" w:lineRule="auto"/>
        <w:ind w:left="2138"/>
        <w:jc w:val="both"/>
        <w:rPr>
          <w:rFonts w:ascii="Tahoma" w:eastAsia="Tahoma" w:hAnsi="Tahoma" w:cs="Tahoma"/>
        </w:rPr>
      </w:pPr>
    </w:p>
    <w:p w:rsidR="00FC577F" w:rsidRDefault="001B485C">
      <w:pPr>
        <w:spacing w:line="360" w:lineRule="auto"/>
        <w:ind w:left="213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>V</w:t>
      </w:r>
      <w:r w:rsidR="00692A54">
        <w:rPr>
          <w:rFonts w:ascii="Tahoma" w:eastAsia="Tahoma" w:hAnsi="Tahoma" w:cs="Tahoma"/>
          <w:sz w:val="22"/>
          <w:szCs w:val="22"/>
        </w:rPr>
        <w:t>I</w:t>
      </w:r>
      <w:r>
        <w:rPr>
          <w:rFonts w:ascii="Tahoma" w:eastAsia="Tahoma" w:hAnsi="Tahoma" w:cs="Tahoma"/>
          <w:sz w:val="22"/>
          <w:szCs w:val="22"/>
        </w:rPr>
        <w:t xml:space="preserve"> - As Áreas Especiais de Interesse Turístico </w:t>
      </w:r>
      <w:r w:rsidR="004F730D">
        <w:rPr>
          <w:rFonts w:ascii="Tahoma" w:eastAsia="Tahoma" w:hAnsi="Tahoma" w:cs="Tahoma"/>
          <w:sz w:val="22"/>
          <w:szCs w:val="22"/>
        </w:rPr>
        <w:t xml:space="preserve">Ambiental </w:t>
      </w:r>
      <w:r>
        <w:rPr>
          <w:rFonts w:ascii="Tahoma" w:eastAsia="Tahoma" w:hAnsi="Tahoma" w:cs="Tahoma"/>
          <w:sz w:val="22"/>
          <w:szCs w:val="22"/>
        </w:rPr>
        <w:t>serão instituídas por decreto do Poder Executivo, mediante proposta do Conselho Municipal Turismo</w:t>
      </w:r>
      <w:r w:rsidR="004F730D">
        <w:rPr>
          <w:rFonts w:ascii="Tahoma" w:eastAsia="Tahoma" w:hAnsi="Tahoma" w:cs="Tahoma"/>
          <w:sz w:val="22"/>
          <w:szCs w:val="22"/>
        </w:rPr>
        <w:t xml:space="preserve"> em parceria com o Conselho de Meio Ambiente</w:t>
      </w:r>
      <w:r>
        <w:rPr>
          <w:rFonts w:ascii="Tahoma" w:eastAsia="Tahoma" w:hAnsi="Tahoma" w:cs="Tahoma"/>
          <w:sz w:val="22"/>
          <w:szCs w:val="22"/>
        </w:rPr>
        <w:t>, para fins de elaboração e execução de planos e programas destinados a:</w:t>
      </w:r>
    </w:p>
    <w:p w:rsidR="000F6C60" w:rsidRDefault="000F6C60">
      <w:pPr>
        <w:ind w:left="2705"/>
        <w:rPr>
          <w:rFonts w:ascii="Tahoma" w:eastAsia="Tahoma" w:hAnsi="Tahoma" w:cs="Tahoma"/>
          <w:sz w:val="22"/>
          <w:szCs w:val="22"/>
        </w:rPr>
      </w:pPr>
    </w:p>
    <w:p w:rsidR="00FC577F" w:rsidRDefault="001B485C">
      <w:pPr>
        <w:ind w:left="2705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a) - promover o desenvolvimento turístico</w:t>
      </w:r>
      <w:r w:rsidR="004F730D">
        <w:rPr>
          <w:rFonts w:ascii="Tahoma" w:eastAsia="Tahoma" w:hAnsi="Tahoma" w:cs="Tahoma"/>
          <w:sz w:val="22"/>
          <w:szCs w:val="22"/>
        </w:rPr>
        <w:t xml:space="preserve"> ambiental</w:t>
      </w:r>
      <w:r>
        <w:rPr>
          <w:rFonts w:ascii="Tahoma" w:eastAsia="Tahoma" w:hAnsi="Tahoma" w:cs="Tahoma"/>
          <w:sz w:val="22"/>
          <w:szCs w:val="22"/>
        </w:rPr>
        <w:t>;</w:t>
      </w:r>
    </w:p>
    <w:p w:rsidR="00FC577F" w:rsidRDefault="001B485C">
      <w:pPr>
        <w:ind w:left="2705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b) - assegurar a preservação e valorização do patrimônio cultural e natural;</w:t>
      </w:r>
    </w:p>
    <w:p w:rsidR="00FC577F" w:rsidRDefault="001B485C">
      <w:pPr>
        <w:ind w:left="2705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c) - estabelecer normas de uso e ocupação do </w:t>
      </w:r>
      <w:proofErr w:type="gramStart"/>
      <w:r>
        <w:rPr>
          <w:rFonts w:ascii="Tahoma" w:eastAsia="Tahoma" w:hAnsi="Tahoma" w:cs="Tahoma"/>
          <w:sz w:val="22"/>
          <w:szCs w:val="22"/>
        </w:rPr>
        <w:t>solo;</w:t>
      </w:r>
      <w:proofErr w:type="gramEnd"/>
      <w:r>
        <w:rPr>
          <w:rFonts w:ascii="Tahoma" w:eastAsia="Tahoma" w:hAnsi="Tahoma" w:cs="Tahoma"/>
          <w:sz w:val="22"/>
          <w:szCs w:val="22"/>
        </w:rPr>
        <w:t>e</w:t>
      </w:r>
    </w:p>
    <w:p w:rsidR="00FC577F" w:rsidRDefault="001B485C">
      <w:pPr>
        <w:ind w:left="2705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d) - orientar a alocação de recursos e incentivos necessários a atender aos </w:t>
      </w:r>
      <w:r w:rsidR="000F6C60">
        <w:rPr>
          <w:rFonts w:ascii="Tahoma" w:eastAsia="Tahoma" w:hAnsi="Tahoma" w:cs="Tahoma"/>
          <w:sz w:val="22"/>
          <w:szCs w:val="22"/>
        </w:rPr>
        <w:t xml:space="preserve">        </w:t>
      </w:r>
      <w:proofErr w:type="gramStart"/>
      <w:r>
        <w:rPr>
          <w:rFonts w:ascii="Tahoma" w:eastAsia="Tahoma" w:hAnsi="Tahoma" w:cs="Tahoma"/>
          <w:sz w:val="22"/>
          <w:szCs w:val="22"/>
        </w:rPr>
        <w:t>o</w:t>
      </w:r>
      <w:r w:rsidR="004F730D">
        <w:rPr>
          <w:rFonts w:ascii="Tahoma" w:eastAsia="Tahoma" w:hAnsi="Tahoma" w:cs="Tahoma"/>
          <w:sz w:val="22"/>
          <w:szCs w:val="22"/>
        </w:rPr>
        <w:t>bjetivos e diretrizes para AEITA</w:t>
      </w:r>
      <w:proofErr w:type="gramEnd"/>
    </w:p>
    <w:p w:rsidR="00FC577F" w:rsidRDefault="00FC577F">
      <w:pPr>
        <w:spacing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0F6C60" w:rsidRDefault="000F6C60" w:rsidP="000F6C60">
      <w:pPr>
        <w:pStyle w:val="NormalWeb"/>
        <w:jc w:val="center"/>
      </w:pPr>
      <w:r>
        <w:rPr>
          <w:noProof/>
        </w:rPr>
        <w:drawing>
          <wp:inline distT="0" distB="0" distL="0" distR="0">
            <wp:extent cx="3859943" cy="3434443"/>
            <wp:effectExtent l="19050" t="0" r="7207" b="0"/>
            <wp:docPr id="1" name="Imagem 1" descr="E:\TODAS EMANDAS PL Nº 221\AEITA demarcada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ODAS EMANDAS PL Nº 221\AEITA demarcada 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990" cy="343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77F" w:rsidRDefault="001B485C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692A54">
        <w:rPr>
          <w:rFonts w:ascii="Tahoma" w:eastAsia="Tahoma" w:hAnsi="Tahoma" w:cs="Tahoma"/>
          <w:sz w:val="22"/>
          <w:szCs w:val="22"/>
        </w:rPr>
        <w:t>23</w:t>
      </w:r>
      <w:r>
        <w:rPr>
          <w:rFonts w:ascii="Tahoma" w:eastAsia="Tahoma" w:hAnsi="Tahoma" w:cs="Tahoma"/>
          <w:sz w:val="22"/>
          <w:szCs w:val="22"/>
        </w:rPr>
        <w:t xml:space="preserve"> de </w:t>
      </w:r>
      <w:r w:rsidR="00692A54">
        <w:rPr>
          <w:rFonts w:ascii="Tahoma" w:eastAsia="Tahoma" w:hAnsi="Tahoma" w:cs="Tahoma"/>
          <w:sz w:val="22"/>
          <w:szCs w:val="22"/>
        </w:rPr>
        <w:t>fevereiro</w:t>
      </w:r>
      <w:r>
        <w:rPr>
          <w:rFonts w:ascii="Tahoma" w:eastAsia="Tahoma" w:hAnsi="Tahoma" w:cs="Tahoma"/>
          <w:sz w:val="22"/>
          <w:szCs w:val="22"/>
        </w:rPr>
        <w:t xml:space="preserve"> de 202</w:t>
      </w:r>
      <w:r w:rsidR="00692A54">
        <w:rPr>
          <w:rFonts w:ascii="Tahoma" w:eastAsia="Tahoma" w:hAnsi="Tahoma" w:cs="Tahoma"/>
          <w:sz w:val="22"/>
          <w:szCs w:val="22"/>
        </w:rPr>
        <w:t>4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FC577F" w:rsidRDefault="00FC577F">
      <w:pPr>
        <w:pStyle w:val="Ttulo5"/>
        <w:spacing w:before="0" w:after="0"/>
        <w:jc w:val="center"/>
        <w:rPr>
          <w:rFonts w:ascii="Tahoma" w:eastAsia="Tahoma" w:hAnsi="Tahoma" w:cs="Tahoma"/>
          <w:sz w:val="22"/>
          <w:szCs w:val="22"/>
        </w:rPr>
      </w:pPr>
    </w:p>
    <w:p w:rsidR="00FC577F" w:rsidRDefault="00FC577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C577F" w:rsidRDefault="00FC577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C577F" w:rsidRDefault="00FC577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C577F" w:rsidRDefault="001B485C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C577F" w:rsidRDefault="00FC577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C577F" w:rsidRDefault="001B485C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Vereador </w:t>
      </w:r>
    </w:p>
    <w:p w:rsidR="00692A54" w:rsidRDefault="00692A54">
      <w:pPr>
        <w:rPr>
          <w:rFonts w:ascii="Tahoma" w:eastAsia="Tahoma" w:hAnsi="Tahoma" w:cs="Tahoma"/>
          <w:b/>
          <w:sz w:val="22"/>
          <w:szCs w:val="22"/>
        </w:rPr>
      </w:pPr>
    </w:p>
    <w:p w:rsidR="00FC577F" w:rsidRDefault="001B485C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FC577F" w:rsidRDefault="00FC577F">
      <w:pPr>
        <w:rPr>
          <w:rFonts w:ascii="Tahoma" w:eastAsia="Tahoma" w:hAnsi="Tahoma" w:cs="Tahoma"/>
          <w:b/>
          <w:sz w:val="22"/>
          <w:szCs w:val="22"/>
        </w:rPr>
      </w:pPr>
    </w:p>
    <w:p w:rsidR="00FC577F" w:rsidRDefault="001B485C">
      <w:pPr>
        <w:spacing w:line="360" w:lineRule="auto"/>
        <w:ind w:firstLine="1134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O intuito da presente emenda é estabelecer as áreas de interesse de Niterói, como aquelas de significativa relevância para o turismo </w:t>
      </w:r>
      <w:r w:rsidR="000F6C60">
        <w:rPr>
          <w:rFonts w:ascii="Tahoma" w:eastAsia="Tahoma" w:hAnsi="Tahoma" w:cs="Tahoma"/>
          <w:sz w:val="22"/>
          <w:szCs w:val="22"/>
          <w:highlight w:val="white"/>
        </w:rPr>
        <w:t>ambiental.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 </w:t>
      </w:r>
    </w:p>
    <w:p w:rsidR="00FC577F" w:rsidRDefault="001B485C">
      <w:pPr>
        <w:spacing w:line="360" w:lineRule="auto"/>
        <w:ind w:firstLine="1134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>Faz parte do Plano Diretor de Niterói, de 2019 (NITERÓI, Lei nº 3385 de 21 de janeiro de 2019), o estabelecimento das áreas de especial interesse no Município. Nessa legislação urbanística, são essas:</w:t>
      </w:r>
    </w:p>
    <w:p w:rsidR="00FC577F" w:rsidRDefault="001B485C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Art. 99. As Áreas de Especial Interesse são instrumentos da política urbana e ambiental e caracterizam-se por um interesse público definido, sendo classificadas nas seguintes categorias: </w:t>
      </w:r>
    </w:p>
    <w:p w:rsidR="00FC577F" w:rsidRDefault="001B485C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I –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Área de Especial Interesse Turístico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, aquela onde há interesse público em se aproveitar o potencial turístico e para a qual se façam necessários investimentos e intervenções visando ao desenvolvimento da atividade turística; </w:t>
      </w:r>
    </w:p>
    <w:p w:rsidR="00A31A70" w:rsidRDefault="00A31A70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A31A70" w:rsidRDefault="00A31A70" w:rsidP="00A31A70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Essas áreas são de significativa relevância diante do potencial turístico que Niterói representa no estado do Rio de Janeiro. </w:t>
      </w:r>
    </w:p>
    <w:p w:rsidR="00FC577F" w:rsidRDefault="001B485C" w:rsidP="000F6C6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ab/>
        <w:t>O setor de turismo no Município de Niterói, segundo o relatório do Observatório do Turismo, tem “um grande potencial para contribuir no processo de crescimento e de desenvolvimento econômico, gerando emprego, renda e melhorando a qualidade de vida da população local, o que está alinhado às diretrizes definidas no ‘Plano Estratégico 2013-2033: Niterói que Queremos’.”</w:t>
      </w:r>
    </w:p>
    <w:p w:rsidR="00FC577F" w:rsidRDefault="001B485C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Sendo, portanto, objetivo da Prefeitura de Niterói, como reiterado em diversas oportunidades, fomentar o turismo da cidade, se propõe que isso seja explícito na Lei Urbanística, trazendo a presença da </w:t>
      </w:r>
      <w:proofErr w:type="spellStart"/>
      <w:r>
        <w:rPr>
          <w:rFonts w:ascii="Tahoma" w:eastAsia="Tahoma" w:hAnsi="Tahoma" w:cs="Tahoma"/>
          <w:sz w:val="22"/>
          <w:szCs w:val="22"/>
          <w:highlight w:val="white"/>
        </w:rPr>
        <w:t>Àrea</w:t>
      </w:r>
      <w:proofErr w:type="spellEnd"/>
      <w:r>
        <w:rPr>
          <w:rFonts w:ascii="Tahoma" w:eastAsia="Tahoma" w:hAnsi="Tahoma" w:cs="Tahoma"/>
          <w:sz w:val="22"/>
          <w:szCs w:val="22"/>
          <w:highlight w:val="white"/>
        </w:rPr>
        <w:t xml:space="preserve"> de Especial Interesse Turístico e suas vantagens para a região em que é compreendida. </w:t>
      </w:r>
    </w:p>
    <w:p w:rsidR="00FC577F" w:rsidRDefault="001B485C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>Ainda segundo o Plano Diretor de Niterói:</w:t>
      </w:r>
    </w:p>
    <w:p w:rsidR="00FC577F" w:rsidRDefault="00FC577F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FC577F" w:rsidRDefault="001B485C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>“Art. 10. São objetivos estratégicos do Plano Diretor:</w:t>
      </w:r>
    </w:p>
    <w:p w:rsidR="00FC577F" w:rsidRDefault="001B485C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proofErr w:type="gramStart"/>
      <w:r>
        <w:rPr>
          <w:rFonts w:ascii="Tahoma" w:eastAsia="Tahoma" w:hAnsi="Tahoma" w:cs="Tahoma"/>
          <w:sz w:val="22"/>
          <w:szCs w:val="22"/>
          <w:highlight w:val="white"/>
        </w:rPr>
        <w:t xml:space="preserve">XII –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promover e incentivar o turismo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 como fator de desenvolvimento econômico e social, respeitando e valorizando o patrimônio cultural e natural e observando as peculiaridades locais”</w:t>
      </w:r>
      <w:proofErr w:type="gramEnd"/>
    </w:p>
    <w:p w:rsidR="00FC577F" w:rsidRDefault="00FC577F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FC577F" w:rsidRDefault="001B485C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lastRenderedPageBreak/>
        <w:t>“Art. 278. O Sistema Municipal de Planejamento Urbano e Gestão do Plano Diretor de Niterói tem como objetivos:</w:t>
      </w:r>
    </w:p>
    <w:p w:rsidR="00FC577F" w:rsidRDefault="001B485C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proofErr w:type="gramStart"/>
      <w:r>
        <w:rPr>
          <w:rFonts w:ascii="Tahoma" w:eastAsia="Tahoma" w:hAnsi="Tahoma" w:cs="Tahoma"/>
          <w:sz w:val="22"/>
          <w:szCs w:val="22"/>
          <w:highlight w:val="white"/>
        </w:rPr>
        <w:t xml:space="preserve">VII – estimular ações alinhadas às diretrizes do Plano Diretor, em especial quanto aos aspectos de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sustentabilidade ambiental e econômica, qualidade de vida, turismo, cultura, esporte e social</w:t>
      </w:r>
      <w:r>
        <w:rPr>
          <w:rFonts w:ascii="Tahoma" w:eastAsia="Tahoma" w:hAnsi="Tahoma" w:cs="Tahoma"/>
          <w:sz w:val="22"/>
          <w:szCs w:val="22"/>
          <w:highlight w:val="white"/>
        </w:rPr>
        <w:t>;”</w:t>
      </w:r>
      <w:proofErr w:type="gramEnd"/>
    </w:p>
    <w:p w:rsidR="00FC577F" w:rsidRDefault="00FC577F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A31A70" w:rsidRDefault="00A31A70" w:rsidP="00A31A7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Na Região Oceânica, um dos diversos exemplos de conhecidas praias são: a Praia de Camboinhas e a Praia de Itaipu. Além da orla em si, que atrai turistas de todo o estado, essa região ainda reserva valores culturais, históricos e ecológicos de significativa relevância. </w:t>
      </w:r>
      <w:r>
        <w:rPr>
          <w:rFonts w:ascii="Tahoma" w:eastAsia="Tahoma" w:hAnsi="Tahoma" w:cs="Tahoma"/>
          <w:sz w:val="22"/>
          <w:szCs w:val="22"/>
          <w:highlight w:val="white"/>
        </w:rPr>
        <w:tab/>
        <w:t xml:space="preserve">É importante, nesse sentido, garantir a proteção do patrimônio cultural e natural do local, enquanto se promove o turismo da região com ações em prol do desenvolvimento sustentável que proporcionará diversas </w:t>
      </w:r>
      <w:proofErr w:type="spellStart"/>
      <w:r>
        <w:rPr>
          <w:rFonts w:ascii="Tahoma" w:eastAsia="Tahoma" w:hAnsi="Tahoma" w:cs="Tahoma"/>
          <w:sz w:val="22"/>
          <w:szCs w:val="22"/>
          <w:highlight w:val="white"/>
        </w:rPr>
        <w:t>consequências</w:t>
      </w:r>
      <w:proofErr w:type="spellEnd"/>
      <w:r>
        <w:rPr>
          <w:rFonts w:ascii="Tahoma" w:eastAsia="Tahoma" w:hAnsi="Tahoma" w:cs="Tahoma"/>
          <w:sz w:val="22"/>
          <w:szCs w:val="22"/>
          <w:highlight w:val="white"/>
        </w:rPr>
        <w:t xml:space="preserve"> benéficas para a região, inclusive econômicas para um local sem dúvida com potenciais imensuráveis. </w:t>
      </w:r>
    </w:p>
    <w:p w:rsidR="00A31A70" w:rsidRDefault="00A31A70" w:rsidP="00A31A7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ab/>
        <w:t xml:space="preserve">Em Itaipu e Camboinhas, registros históricos remetem à ocupação </w:t>
      </w:r>
      <w:proofErr w:type="spellStart"/>
      <w:r>
        <w:rPr>
          <w:rFonts w:ascii="Tahoma" w:eastAsia="Tahoma" w:hAnsi="Tahoma" w:cs="Tahoma"/>
          <w:sz w:val="22"/>
          <w:szCs w:val="22"/>
          <w:highlight w:val="white"/>
        </w:rPr>
        <w:t>pré-cabralina</w:t>
      </w:r>
      <w:proofErr w:type="spellEnd"/>
      <w:r>
        <w:rPr>
          <w:rFonts w:ascii="Tahoma" w:eastAsia="Tahoma" w:hAnsi="Tahoma" w:cs="Tahoma"/>
          <w:sz w:val="22"/>
          <w:szCs w:val="22"/>
          <w:highlight w:val="white"/>
        </w:rPr>
        <w:t xml:space="preserve"> da região. Nos</w:t>
      </w:r>
      <w:proofErr w:type="gramStart"/>
      <w:r>
        <w:rPr>
          <w:rFonts w:ascii="Tahoma" w:eastAsia="Tahoma" w:hAnsi="Tahoma" w:cs="Tahoma"/>
          <w:sz w:val="22"/>
          <w:szCs w:val="22"/>
          <w:highlight w:val="white"/>
        </w:rPr>
        <w:t xml:space="preserve">  </w:t>
      </w:r>
      <w:proofErr w:type="gramEnd"/>
      <w:r>
        <w:rPr>
          <w:rFonts w:ascii="Tahoma" w:eastAsia="Tahoma" w:hAnsi="Tahoma" w:cs="Tahoma"/>
          <w:sz w:val="22"/>
          <w:szCs w:val="22"/>
          <w:highlight w:val="white"/>
        </w:rPr>
        <w:t xml:space="preserve">sítios arqueológicos da Duna Pequena e Sambaqui de Camboinhas há preservação de blocos testemunhos, cuja datação aproxima-se de 7 mil anos a.C. </w:t>
      </w:r>
    </w:p>
    <w:p w:rsidR="00A31A70" w:rsidRDefault="00A31A70" w:rsidP="00A31A7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ab/>
        <w:t xml:space="preserve">Nesse sentido, a área não somente apresenta um potencial para o turismo de praia, que por si só já seria significativo para Niterói. Porém, também existe um potencial único de contato com relíquias centenárias, assim como acesso ao ecoturismo que promove a região economicamente, mas também protege a natureza exuberante da região. </w:t>
      </w:r>
    </w:p>
    <w:p w:rsidR="00A31A70" w:rsidRDefault="00A31A70" w:rsidP="00A31A7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ab/>
        <w:t>Sobre a temática, o Plano Diretor apresentou</w:t>
      </w:r>
      <w:proofErr w:type="gramStart"/>
      <w:r>
        <w:rPr>
          <w:rFonts w:ascii="Tahoma" w:eastAsia="Tahoma" w:hAnsi="Tahoma" w:cs="Tahoma"/>
          <w:sz w:val="22"/>
          <w:szCs w:val="22"/>
          <w:highlight w:val="white"/>
        </w:rPr>
        <w:t xml:space="preserve">  </w:t>
      </w:r>
      <w:proofErr w:type="gramEnd"/>
      <w:r>
        <w:rPr>
          <w:rFonts w:ascii="Tahoma" w:eastAsia="Tahoma" w:hAnsi="Tahoma" w:cs="Tahoma"/>
          <w:sz w:val="22"/>
          <w:szCs w:val="22"/>
          <w:highlight w:val="white"/>
        </w:rPr>
        <w:t>a Política de Desenvolvimento Sustentável. A ver:</w:t>
      </w:r>
    </w:p>
    <w:p w:rsidR="00A31A70" w:rsidRDefault="00A31A70" w:rsidP="00A31A7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A31A70" w:rsidRDefault="00A31A70" w:rsidP="00A31A70">
      <w:pPr>
        <w:spacing w:line="360" w:lineRule="auto"/>
        <w:ind w:left="216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“Art. 259. São objetivos da Política de Desenvolvimento Econômico Sustentável: </w:t>
      </w:r>
    </w:p>
    <w:p w:rsidR="00A31A70" w:rsidRDefault="00A31A70" w:rsidP="00A31A70">
      <w:pPr>
        <w:spacing w:line="360" w:lineRule="auto"/>
        <w:ind w:left="216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I – incentivar a Economia do Mar, tanto no que se refere às atividades intensivas em capital e de grande escala, como pesca industrial, processamento de peixe, indústria naval e serviços portuários de apoio náutico, quanto às atividades de menor escala, como pesca artesanal ou de pequeno porte,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turismo relacionado à praia</w:t>
      </w:r>
      <w:r>
        <w:rPr>
          <w:rFonts w:ascii="Tahoma" w:eastAsia="Tahoma" w:hAnsi="Tahoma" w:cs="Tahoma"/>
          <w:sz w:val="22"/>
          <w:szCs w:val="22"/>
          <w:highlight w:val="white"/>
        </w:rPr>
        <w:t>, prática de esportes náuticos, cultivo de mexilhões, mercado de peixes, entre outros;</w:t>
      </w:r>
    </w:p>
    <w:p w:rsidR="00A31A70" w:rsidRDefault="00A31A70" w:rsidP="00A31A70">
      <w:pPr>
        <w:spacing w:line="360" w:lineRule="auto"/>
        <w:ind w:left="2160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A31A70" w:rsidRDefault="00A31A70" w:rsidP="00A31A70">
      <w:pPr>
        <w:spacing w:line="360" w:lineRule="auto"/>
        <w:ind w:left="216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 </w:t>
      </w:r>
      <w:proofErr w:type="gramStart"/>
      <w:r>
        <w:rPr>
          <w:rFonts w:ascii="Tahoma" w:eastAsia="Tahoma" w:hAnsi="Tahoma" w:cs="Tahoma"/>
          <w:sz w:val="22"/>
          <w:szCs w:val="22"/>
          <w:highlight w:val="white"/>
        </w:rPr>
        <w:t xml:space="preserve">IV – incentivar as atividades econômicas ligadas ao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 xml:space="preserve">turismo de lazer, de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lastRenderedPageBreak/>
        <w:t>negócios e ecoturismo</w:t>
      </w:r>
      <w:r>
        <w:rPr>
          <w:rFonts w:ascii="Tahoma" w:eastAsia="Tahoma" w:hAnsi="Tahoma" w:cs="Tahoma"/>
          <w:sz w:val="22"/>
          <w:szCs w:val="22"/>
          <w:highlight w:val="white"/>
        </w:rPr>
        <w:t>;”</w:t>
      </w:r>
      <w:proofErr w:type="gramEnd"/>
    </w:p>
    <w:p w:rsidR="00A31A70" w:rsidRDefault="00A31A70" w:rsidP="00A31A70">
      <w:pPr>
        <w:spacing w:line="360" w:lineRule="auto"/>
        <w:ind w:left="2160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A31A70" w:rsidRDefault="00A31A70" w:rsidP="00A31A70">
      <w:pPr>
        <w:spacing w:line="360" w:lineRule="auto"/>
        <w:ind w:left="216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“Art. 261. São compatíveis com os </w:t>
      </w:r>
      <w:proofErr w:type="spellStart"/>
      <w:r>
        <w:rPr>
          <w:rFonts w:ascii="Tahoma" w:eastAsia="Tahoma" w:hAnsi="Tahoma" w:cs="Tahoma"/>
          <w:sz w:val="22"/>
          <w:szCs w:val="22"/>
          <w:highlight w:val="white"/>
        </w:rPr>
        <w:t>Polos</w:t>
      </w:r>
      <w:proofErr w:type="spellEnd"/>
      <w:r>
        <w:rPr>
          <w:rFonts w:ascii="Tahoma" w:eastAsia="Tahoma" w:hAnsi="Tahoma" w:cs="Tahoma"/>
          <w:sz w:val="22"/>
          <w:szCs w:val="22"/>
          <w:highlight w:val="white"/>
        </w:rPr>
        <w:t xml:space="preserve"> de Inovação e Economia Criativa as atividades relacionadas às seguintes áreas: </w:t>
      </w:r>
    </w:p>
    <w:p w:rsidR="00A31A70" w:rsidRDefault="00A31A70" w:rsidP="00A31A70">
      <w:pPr>
        <w:spacing w:line="360" w:lineRule="auto"/>
        <w:ind w:left="216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proofErr w:type="gramStart"/>
      <w:r>
        <w:rPr>
          <w:rFonts w:ascii="Tahoma" w:eastAsia="Tahoma" w:hAnsi="Tahoma" w:cs="Tahoma"/>
          <w:sz w:val="22"/>
          <w:szCs w:val="22"/>
          <w:highlight w:val="white"/>
        </w:rPr>
        <w:t xml:space="preserve">I – Patrimônio Cultural: atividades que se desenvolvem a partir dos elementos da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herança cultural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, envolvendo as celebrações e os modos de criar, viver e fazer, tais como o artesanato, a gastronomia, o lazer, o entretenimento, o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turismo a sítios com valor histórico</w:t>
      </w:r>
      <w:r>
        <w:rPr>
          <w:rFonts w:ascii="Tahoma" w:eastAsia="Tahoma" w:hAnsi="Tahoma" w:cs="Tahoma"/>
          <w:sz w:val="22"/>
          <w:szCs w:val="22"/>
          <w:highlight w:val="white"/>
        </w:rPr>
        <w:t>, artístico e paisagístico, e a fruição a museus e bibliotecas;”</w:t>
      </w:r>
      <w:proofErr w:type="gramEnd"/>
    </w:p>
    <w:p w:rsidR="00A31A70" w:rsidRDefault="00A31A70" w:rsidP="00A31A70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A31A70" w:rsidRDefault="00A31A70" w:rsidP="00A31A70">
      <w:pPr>
        <w:spacing w:line="360" w:lineRule="auto"/>
        <w:ind w:firstLine="720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De forma a reproduzir determinações tão relevantes para essas regiões, expostas no Plano Diretor, garantindo a harmonia da legislação de planejamento urbanístico, a presente emenda expõe sua proposta. Não podendo deixar de apresentar como estratégia para a continuidade de propostas realizadas por essa Administração Pública no sentido de fomentar e fortalecer o turismo da cidade.  </w:t>
      </w:r>
    </w:p>
    <w:p w:rsidR="00FC577F" w:rsidRDefault="00A31A70" w:rsidP="00A31A70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>Por essa razão, c</w:t>
      </w:r>
      <w:r>
        <w:rPr>
          <w:rFonts w:ascii="Tahoma" w:eastAsia="Tahoma" w:hAnsi="Tahoma" w:cs="Tahoma"/>
          <w:sz w:val="22"/>
          <w:szCs w:val="22"/>
        </w:rPr>
        <w:t>ontamos com o apoio dos nobres pares para aprovação da presente emenda.</w:t>
      </w:r>
    </w:p>
    <w:sectPr w:rsidR="00FC577F" w:rsidSect="00FC57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77F" w:rsidRDefault="00FC577F" w:rsidP="00FC577F">
      <w:r>
        <w:separator/>
      </w:r>
    </w:p>
  </w:endnote>
  <w:endnote w:type="continuationSeparator" w:id="1">
    <w:p w:rsidR="00FC577F" w:rsidRDefault="00FC577F" w:rsidP="00FC57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7F" w:rsidRDefault="00FC577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7F" w:rsidRDefault="001B48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FC577F" w:rsidRDefault="001B48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FC577F" w:rsidRDefault="001B48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FC577F" w:rsidRDefault="00FC577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7F" w:rsidRDefault="00FC577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77F" w:rsidRDefault="00FC577F" w:rsidP="00FC577F">
      <w:r>
        <w:separator/>
      </w:r>
    </w:p>
  </w:footnote>
  <w:footnote w:type="continuationSeparator" w:id="1">
    <w:p w:rsidR="00FC577F" w:rsidRDefault="00FC577F" w:rsidP="00FC57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7F" w:rsidRDefault="00FC577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7F" w:rsidRDefault="00FC577F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b/>
        <w:sz w:val="22"/>
        <w:szCs w:val="22"/>
      </w:rPr>
    </w:pPr>
  </w:p>
  <w:tbl>
    <w:tblPr>
      <w:tblStyle w:val="a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FC577F">
      <w:trPr>
        <w:cantSplit/>
        <w:trHeight w:val="1971"/>
        <w:tblHeader/>
      </w:trPr>
      <w:tc>
        <w:tcPr>
          <w:tcW w:w="1728" w:type="dxa"/>
        </w:tcPr>
        <w:p w:rsidR="00FC577F" w:rsidRDefault="001B48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C577F" w:rsidRDefault="00FC577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C577F" w:rsidRDefault="00FC577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C577F" w:rsidRDefault="001B48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C577F" w:rsidRDefault="00FC577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C577F" w:rsidRDefault="001B485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C577F" w:rsidRDefault="00FC577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C577F" w:rsidRDefault="00FC577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77F" w:rsidRDefault="00FC577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577F"/>
    <w:rsid w:val="000F6C60"/>
    <w:rsid w:val="001B485C"/>
    <w:rsid w:val="00301B35"/>
    <w:rsid w:val="004F730D"/>
    <w:rsid w:val="00692A54"/>
    <w:rsid w:val="00A31A70"/>
    <w:rsid w:val="00C869B1"/>
    <w:rsid w:val="00FC5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FC577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FC577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FC577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FC577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FC577F"/>
  </w:style>
  <w:style w:type="table" w:customStyle="1" w:styleId="TableNormal">
    <w:name w:val="Table Normal"/>
    <w:rsid w:val="00FC577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FC577F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PargrafodaLista">
    <w:name w:val="List Paragraph"/>
    <w:basedOn w:val="Normal"/>
    <w:uiPriority w:val="34"/>
    <w:qFormat/>
    <w:rsid w:val="00607B5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315322"/>
    <w:rPr>
      <w:b/>
      <w:bCs/>
    </w:rPr>
  </w:style>
  <w:style w:type="paragraph" w:styleId="Subttulo">
    <w:name w:val="Subtitle"/>
    <w:basedOn w:val="Normal"/>
    <w:next w:val="Normal"/>
    <w:rsid w:val="00FC577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C577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9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zCfnTEuCaFEqtEsi6+8dljX3aw==">CgMxLjA4AHIhMUx0NHVrNDQ2VUZEOVFJY1RYX25wSVptTXQyWDRKbUEz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1319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dcterms:created xsi:type="dcterms:W3CDTF">2024-02-24T02:29:00Z</dcterms:created>
  <dcterms:modified xsi:type="dcterms:W3CDTF">2024-02-24T02:29:00Z</dcterms:modified>
</cp:coreProperties>
</file>