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1"/>
        <w:tabs>
          <w:tab w:val="left" w:leader="none" w:pos="3397"/>
          <w:tab w:val="left" w:leader="none" w:pos="13460"/>
          <w:tab w:val="left" w:leader="none" w:pos="1133"/>
          <w:tab w:val="center" w:leader="none" w:pos="4818"/>
          <w:tab w:val="left" w:leader="none" w:pos="11196"/>
        </w:tabs>
        <w:ind w:left="0" w:firstLine="0"/>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Emenda Nº      /2024</w:t>
      </w:r>
    </w:p>
    <w:p w:rsidR="00000000" w:rsidDel="00000000" w:rsidP="00000000" w:rsidRDefault="00000000" w:rsidRPr="00000000" w14:paraId="00000002">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3">
      <w:pPr>
        <w:pStyle w:val="Heading1"/>
        <w:tabs>
          <w:tab w:val="left" w:leader="none" w:pos="3397"/>
          <w:tab w:val="left" w:leader="none" w:pos="13460"/>
        </w:tabs>
        <w:ind w:left="0" w:firstLine="0"/>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Modificativa ao Projeto de Lei Nº. 221/2023</w:t>
      </w:r>
    </w:p>
    <w:p w:rsidR="00000000" w:rsidDel="00000000" w:rsidP="00000000" w:rsidRDefault="00000000" w:rsidRPr="00000000" w14:paraId="00000004">
      <w:pPr>
        <w:ind w:left="6315"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w:t>
      </w:r>
    </w:p>
    <w:p w:rsidR="00000000" w:rsidDel="00000000" w:rsidP="00000000" w:rsidRDefault="00000000" w:rsidRPr="00000000" w14:paraId="00000005">
      <w:pPr>
        <w:ind w:left="6315" w:firstLine="0"/>
        <w:jc w:val="both"/>
        <w:rPr>
          <w:rFonts w:ascii="Tahoma" w:cs="Tahoma" w:eastAsia="Tahoma" w:hAnsi="Tahoma"/>
          <w:color w:val="000000"/>
          <w:sz w:val="22"/>
          <w:szCs w:val="22"/>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06">
      <w:pPr>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7">
      <w:pPr>
        <w:spacing w:line="360" w:lineRule="auto"/>
        <w:ind w:left="5103" w:firstLine="0"/>
        <w:jc w:val="both"/>
        <w:rPr>
          <w:rFonts w:ascii="Tahoma" w:cs="Tahoma" w:eastAsia="Tahoma" w:hAnsi="Tahoma"/>
          <w:b w:val="1"/>
          <w:color w:val="000000"/>
          <w:sz w:val="22"/>
          <w:szCs w:val="22"/>
          <w:highlight w:val="white"/>
        </w:rPr>
      </w:pPr>
      <w:r w:rsidDel="00000000" w:rsidR="00000000" w:rsidRPr="00000000">
        <w:rPr>
          <w:rFonts w:ascii="Tahoma" w:cs="Tahoma" w:eastAsia="Tahoma" w:hAnsi="Tahoma"/>
          <w:b w:val="1"/>
          <w:sz w:val="22"/>
          <w:szCs w:val="22"/>
          <w:rtl w:val="0"/>
        </w:rPr>
        <w:t xml:space="preserve">Modifica-se a</w:t>
      </w:r>
      <w:r w:rsidDel="00000000" w:rsidR="00000000" w:rsidRPr="00000000">
        <w:rPr>
          <w:rFonts w:ascii="Tahoma" w:cs="Tahoma" w:eastAsia="Tahoma" w:hAnsi="Tahoma"/>
          <w:sz w:val="22"/>
          <w:szCs w:val="22"/>
          <w:rtl w:val="0"/>
        </w:rPr>
        <w:t xml:space="preserve"> </w:t>
      </w:r>
      <w:r w:rsidDel="00000000" w:rsidR="00000000" w:rsidRPr="00000000">
        <w:rPr>
          <w:rFonts w:ascii="Tahoma" w:cs="Tahoma" w:eastAsia="Tahoma" w:hAnsi="Tahoma"/>
          <w:b w:val="1"/>
          <w:sz w:val="22"/>
          <w:szCs w:val="22"/>
          <w:rtl w:val="0"/>
        </w:rPr>
        <w:t xml:space="preserve">redação do Art. 119, Seção IV, CAPÍTULO I, TÍTULO V,</w:t>
      </w:r>
      <w:r w:rsidDel="00000000" w:rsidR="00000000" w:rsidRPr="00000000">
        <w:rPr>
          <w:rFonts w:ascii="Tahoma" w:cs="Tahoma" w:eastAsia="Tahoma" w:hAnsi="Tahoma"/>
          <w:sz w:val="22"/>
          <w:szCs w:val="22"/>
          <w:rtl w:val="0"/>
        </w:rPr>
        <w:t xml:space="preserve"> </w:t>
      </w:r>
      <w:r w:rsidDel="00000000" w:rsidR="00000000" w:rsidRPr="00000000">
        <w:rPr>
          <w:rFonts w:ascii="Tahoma" w:cs="Tahoma" w:eastAsia="Tahoma" w:hAnsi="Tahoma"/>
          <w:b w:val="1"/>
          <w:sz w:val="22"/>
          <w:szCs w:val="22"/>
          <w:rtl w:val="0"/>
        </w:rPr>
        <w:t xml:space="preserve">Das Áreas de Especial Interesse Pesqueiro para Áreas de Especial Interesse e modifica-se o texto,</w:t>
      </w:r>
      <w:r w:rsidDel="00000000" w:rsidR="00000000" w:rsidRPr="00000000">
        <w:rPr>
          <w:rFonts w:ascii="Tahoma" w:cs="Tahoma" w:eastAsia="Tahoma" w:hAnsi="Tahoma"/>
          <w:sz w:val="22"/>
          <w:szCs w:val="22"/>
          <w:rtl w:val="0"/>
        </w:rPr>
        <w:t xml:space="preserve"> do Projeto de Lei Nº 221/2023, lei urbanística de Niterói, seu zoneamento, a aplicação de instrumentos de política urbana e as regras gerais de licenciamento da atividade edilícia e de fiscalização da execução de obras</w:t>
      </w:r>
      <w:r w:rsidDel="00000000" w:rsidR="00000000" w:rsidRPr="00000000">
        <w:rPr>
          <w:rFonts w:ascii="Tahoma" w:cs="Tahoma" w:eastAsia="Tahoma" w:hAnsi="Tahoma"/>
          <w:color w:val="000000"/>
          <w:sz w:val="22"/>
          <w:szCs w:val="22"/>
          <w:highlight w:val="white"/>
          <w:rtl w:val="0"/>
        </w:rPr>
        <w:t xml:space="preserve">.</w:t>
      </w:r>
      <w:r w:rsidDel="00000000" w:rsidR="00000000" w:rsidRPr="00000000">
        <w:rPr>
          <w:rtl w:val="0"/>
        </w:rPr>
      </w:r>
    </w:p>
    <w:p w:rsidR="00000000" w:rsidDel="00000000" w:rsidP="00000000" w:rsidRDefault="00000000" w:rsidRPr="00000000" w14:paraId="00000008">
      <w:pPr>
        <w:spacing w:line="360" w:lineRule="auto"/>
        <w:ind w:left="5103" w:firstLine="0"/>
        <w:jc w:val="both"/>
        <w:rPr>
          <w:rFonts w:ascii="Tahoma" w:cs="Tahoma" w:eastAsia="Tahoma" w:hAnsi="Tahoma"/>
          <w:color w:val="000000"/>
          <w:sz w:val="22"/>
          <w:szCs w:val="22"/>
          <w:highlight w:val="white"/>
        </w:rPr>
      </w:pPr>
      <w:r w:rsidDel="00000000" w:rsidR="00000000" w:rsidRPr="00000000">
        <w:rPr>
          <w:rtl w:val="0"/>
        </w:rPr>
      </w:r>
    </w:p>
    <w:p w:rsidR="00000000" w:rsidDel="00000000" w:rsidP="00000000" w:rsidRDefault="00000000" w:rsidRPr="00000000" w14:paraId="00000009">
      <w:pPr>
        <w:ind w:left="567"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A">
      <w:pPr>
        <w:spacing w:line="360" w:lineRule="auto"/>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Art.1º - Modifica-se o</w:t>
      </w:r>
      <w:r w:rsidDel="00000000" w:rsidR="00000000" w:rsidRPr="00000000">
        <w:rPr>
          <w:rFonts w:ascii="Tahoma" w:cs="Tahoma" w:eastAsia="Tahoma" w:hAnsi="Tahoma"/>
          <w:sz w:val="22"/>
          <w:szCs w:val="22"/>
          <w:rtl w:val="0"/>
        </w:rPr>
        <w:t xml:space="preserve"> </w:t>
      </w:r>
      <w:r w:rsidDel="00000000" w:rsidR="00000000" w:rsidRPr="00000000">
        <w:rPr>
          <w:rFonts w:ascii="Tahoma" w:cs="Tahoma" w:eastAsia="Tahoma" w:hAnsi="Tahoma"/>
          <w:b w:val="1"/>
          <w:sz w:val="22"/>
          <w:szCs w:val="22"/>
          <w:rtl w:val="0"/>
        </w:rPr>
        <w:t xml:space="preserve">Art. 119, Seção IV, CAPÍTULO I, TÍTULO V,</w:t>
      </w:r>
      <w:r w:rsidDel="00000000" w:rsidR="00000000" w:rsidRPr="00000000">
        <w:rPr>
          <w:rFonts w:ascii="Tahoma" w:cs="Tahoma" w:eastAsia="Tahoma" w:hAnsi="Tahoma"/>
          <w:sz w:val="22"/>
          <w:szCs w:val="22"/>
          <w:rtl w:val="0"/>
        </w:rPr>
        <w:t xml:space="preserve"> </w:t>
      </w:r>
      <w:r w:rsidDel="00000000" w:rsidR="00000000" w:rsidRPr="00000000">
        <w:rPr>
          <w:rFonts w:ascii="Tahoma" w:cs="Tahoma" w:eastAsia="Tahoma" w:hAnsi="Tahoma"/>
          <w:b w:val="1"/>
          <w:sz w:val="22"/>
          <w:szCs w:val="22"/>
          <w:rtl w:val="0"/>
        </w:rPr>
        <w:t xml:space="preserve">Das Áreas de Especial Interesse Pesqueiro para Áreas de Especial Interesse, </w:t>
      </w:r>
      <w:r w:rsidDel="00000000" w:rsidR="00000000" w:rsidRPr="00000000">
        <w:rPr>
          <w:rFonts w:ascii="Tahoma" w:cs="Tahoma" w:eastAsia="Tahoma" w:hAnsi="Tahoma"/>
          <w:sz w:val="22"/>
          <w:szCs w:val="22"/>
          <w:rtl w:val="0"/>
        </w:rPr>
        <w:t xml:space="preserve">do Projeto de Lei Nº 221/2023,</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que passa a vigorar com a seguinte redação:</w:t>
      </w:r>
    </w:p>
    <w:p w:rsidR="00000000" w:rsidDel="00000000" w:rsidP="00000000" w:rsidRDefault="00000000" w:rsidRPr="00000000" w14:paraId="0000000B">
      <w:pPr>
        <w:spacing w:line="360" w:lineRule="auto"/>
        <w:jc w:val="both"/>
        <w:rPr>
          <w:rFonts w:ascii="Tahoma" w:cs="Tahoma" w:eastAsia="Tahoma" w:hAnsi="Tahoma"/>
          <w:b w:val="1"/>
          <w:color w:val="000000"/>
          <w:sz w:val="22"/>
          <w:szCs w:val="22"/>
          <w:highlight w:val="white"/>
        </w:rPr>
      </w:pPr>
      <w:r w:rsidDel="00000000" w:rsidR="00000000" w:rsidRPr="00000000">
        <w:rPr>
          <w:rtl w:val="0"/>
        </w:rPr>
      </w:r>
    </w:p>
    <w:p w:rsidR="00000000" w:rsidDel="00000000" w:rsidP="00000000" w:rsidRDefault="00000000" w:rsidRPr="00000000" w14:paraId="0000000C">
      <w:pPr>
        <w:spacing w:line="360" w:lineRule="auto"/>
        <w:ind w:left="720" w:firstLine="709"/>
        <w:jc w:val="both"/>
        <w:rPr>
          <w:rFonts w:ascii="Tahoma" w:cs="Tahoma" w:eastAsia="Tahoma" w:hAnsi="Tahoma"/>
          <w:color w:val="000000"/>
          <w:sz w:val="22"/>
          <w:szCs w:val="22"/>
        </w:rPr>
      </w:pPr>
      <w:r w:rsidDel="00000000" w:rsidR="00000000" w:rsidRPr="00000000">
        <w:rPr>
          <w:rFonts w:ascii="Tahoma" w:cs="Tahoma" w:eastAsia="Tahoma" w:hAnsi="Tahoma"/>
          <w:sz w:val="22"/>
          <w:szCs w:val="22"/>
          <w:rtl w:val="0"/>
        </w:rPr>
        <w:t xml:space="preserve">“Art. 119 As Áreas de Especial Interesse c</w:t>
      </w:r>
      <w:r w:rsidDel="00000000" w:rsidR="00000000" w:rsidRPr="00000000">
        <w:rPr>
          <w:rFonts w:ascii="Tahoma" w:cs="Tahoma" w:eastAsia="Tahoma" w:hAnsi="Tahoma"/>
          <w:color w:val="000000"/>
          <w:sz w:val="22"/>
          <w:szCs w:val="22"/>
          <w:rtl w:val="0"/>
        </w:rPr>
        <w:t xml:space="preserve">ompreendem porções do território que demandam tratamento diferenciado por destacar determinadas peculiaridades, cumprindo funções especiais no planejamento e no ordenamento do território, complementando o zoneamento por meio de normas ou diretrizes específicas quanto ao uso e ocupação do solo, visando:</w:t>
      </w:r>
    </w:p>
    <w:p w:rsidR="00000000" w:rsidDel="00000000" w:rsidP="00000000" w:rsidRDefault="00000000" w:rsidRPr="00000000" w14:paraId="0000000D">
      <w:pPr>
        <w:spacing w:line="360" w:lineRule="auto"/>
        <w:ind w:left="720" w:firstLine="709"/>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0E">
      <w:pPr>
        <w:spacing w:line="360" w:lineRule="auto"/>
        <w:ind w:left="2280"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I - reconhecer a diversidade de áreas no processo de desenvolvimento urbano;</w:t>
      </w:r>
    </w:p>
    <w:p w:rsidR="00000000" w:rsidDel="00000000" w:rsidP="00000000" w:rsidRDefault="00000000" w:rsidRPr="00000000" w14:paraId="0000000F">
      <w:pPr>
        <w:spacing w:line="360" w:lineRule="auto"/>
        <w:ind w:left="2280"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II - identificar a ocorrência de áreas com vocações, potencialidades e problemáticas comuns;</w:t>
      </w:r>
    </w:p>
    <w:p w:rsidR="00000000" w:rsidDel="00000000" w:rsidP="00000000" w:rsidRDefault="00000000" w:rsidRPr="00000000" w14:paraId="00000010">
      <w:pPr>
        <w:spacing w:line="360" w:lineRule="auto"/>
        <w:ind w:left="2280"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III - adotar medidas de controle ou estímulo de determinados usos e formas de ocupação do solo em áreas da cidade.</w:t>
      </w:r>
    </w:p>
    <w:p w:rsidR="00000000" w:rsidDel="00000000" w:rsidP="00000000" w:rsidRDefault="00000000" w:rsidRPr="00000000" w14:paraId="00000011">
      <w:pPr>
        <w:spacing w:line="360" w:lineRule="auto"/>
        <w:ind w:left="720"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1º Áreas de Especial Interesse Turístico - </w:t>
      </w:r>
      <w:r w:rsidDel="00000000" w:rsidR="00000000" w:rsidRPr="00000000">
        <w:rPr>
          <w:rFonts w:ascii="Tahoma" w:cs="Tahoma" w:eastAsia="Tahoma" w:hAnsi="Tahoma"/>
          <w:b w:val="1"/>
          <w:sz w:val="22"/>
          <w:szCs w:val="22"/>
          <w:rtl w:val="0"/>
        </w:rPr>
        <w:t xml:space="preserve">AEIT</w:t>
      </w:r>
      <w:r w:rsidDel="00000000" w:rsidR="00000000" w:rsidRPr="00000000">
        <w:rPr>
          <w:rFonts w:ascii="Tahoma" w:cs="Tahoma" w:eastAsia="Tahoma" w:hAnsi="Tahoma"/>
          <w:sz w:val="22"/>
          <w:szCs w:val="22"/>
          <w:rtl w:val="0"/>
        </w:rPr>
        <w:t xml:space="preserve">, são porções do território, delimitadas no </w:t>
      </w:r>
      <w:r w:rsidDel="00000000" w:rsidR="00000000" w:rsidRPr="00000000">
        <w:rPr>
          <w:rFonts w:ascii="Tahoma" w:cs="Tahoma" w:eastAsia="Tahoma" w:hAnsi="Tahoma"/>
          <w:b w:val="1"/>
          <w:sz w:val="22"/>
          <w:szCs w:val="22"/>
          <w:rtl w:val="0"/>
        </w:rPr>
        <w:t xml:space="preserve">MAPA 10 </w:t>
      </w:r>
      <w:r w:rsidDel="00000000" w:rsidR="00000000" w:rsidRPr="00000000">
        <w:rPr>
          <w:rFonts w:ascii="Tahoma" w:cs="Tahoma" w:eastAsia="Tahoma" w:hAnsi="Tahoma"/>
          <w:sz w:val="22"/>
          <w:szCs w:val="22"/>
          <w:rtl w:val="0"/>
        </w:rPr>
        <w:t xml:space="preserve">da Lei nº 3.385/2019 – Plano Diretor de Niterói, onde há interesse público de aproveitar o potencial turístico e de lazer, fazendo-se necessários investimentos, regulamentações e intervenções específicas segundo as características próprias da atividade turística.</w:t>
      </w:r>
    </w:p>
    <w:p w:rsidR="00000000" w:rsidDel="00000000" w:rsidP="00000000" w:rsidRDefault="00000000" w:rsidRPr="00000000" w14:paraId="00000012">
      <w:pPr>
        <w:spacing w:line="360" w:lineRule="auto"/>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3">
      <w:pPr>
        <w:spacing w:line="360" w:lineRule="auto"/>
        <w:ind w:left="213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 Nas </w:t>
      </w:r>
      <w:r w:rsidDel="00000000" w:rsidR="00000000" w:rsidRPr="00000000">
        <w:rPr>
          <w:rFonts w:ascii="Tahoma" w:cs="Tahoma" w:eastAsia="Tahoma" w:hAnsi="Tahoma"/>
          <w:b w:val="1"/>
          <w:sz w:val="22"/>
          <w:szCs w:val="22"/>
          <w:rtl w:val="0"/>
        </w:rPr>
        <w:t xml:space="preserve">AEIT</w:t>
      </w:r>
      <w:r w:rsidDel="00000000" w:rsidR="00000000" w:rsidRPr="00000000">
        <w:rPr>
          <w:rFonts w:ascii="Tahoma" w:cs="Tahoma" w:eastAsia="Tahoma" w:hAnsi="Tahoma"/>
          <w:sz w:val="22"/>
          <w:szCs w:val="22"/>
          <w:rtl w:val="0"/>
        </w:rPr>
        <w:t xml:space="preserve"> serão permitidos o uso de lazer e recreação assim como trilhas, mirantes, hotéis, pousadas, restaurantes, bares, comércio e serviços ligados diretamente às atividades turísticas; </w:t>
      </w:r>
    </w:p>
    <w:p w:rsidR="00000000" w:rsidDel="00000000" w:rsidP="00000000" w:rsidRDefault="00000000" w:rsidRPr="00000000" w14:paraId="00000014">
      <w:pPr>
        <w:spacing w:line="360" w:lineRule="auto"/>
        <w:ind w:left="213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II- Será permitido o uso residencial nas AEIT atendendo os zoneamentos de cada fração específica;</w:t>
      </w:r>
    </w:p>
    <w:p w:rsidR="00000000" w:rsidDel="00000000" w:rsidP="00000000" w:rsidRDefault="00000000" w:rsidRPr="00000000" w14:paraId="00000015">
      <w:pPr>
        <w:spacing w:line="360" w:lineRule="auto"/>
        <w:ind w:left="2138" w:firstLine="0"/>
        <w:jc w:val="both"/>
        <w:rPr>
          <w:rFonts w:ascii="Tahoma" w:cs="Tahoma" w:eastAsia="Tahoma" w:hAnsi="Tahoma"/>
          <w:color w:val="000000"/>
          <w:sz w:val="22"/>
          <w:szCs w:val="22"/>
        </w:rPr>
      </w:pPr>
      <w:r w:rsidDel="00000000" w:rsidR="00000000" w:rsidRPr="00000000">
        <w:rPr>
          <w:rFonts w:ascii="Tahoma" w:cs="Tahoma" w:eastAsia="Tahoma" w:hAnsi="Tahoma"/>
          <w:sz w:val="22"/>
          <w:szCs w:val="22"/>
          <w:rtl w:val="0"/>
        </w:rPr>
        <w:t xml:space="preserve">III - </w:t>
      </w:r>
      <w:r w:rsidDel="00000000" w:rsidR="00000000" w:rsidRPr="00000000">
        <w:rPr>
          <w:rFonts w:ascii="Tahoma" w:cs="Tahoma" w:eastAsia="Tahoma" w:hAnsi="Tahoma"/>
          <w:color w:val="000000"/>
          <w:sz w:val="22"/>
          <w:szCs w:val="22"/>
          <w:rtl w:val="0"/>
        </w:rPr>
        <w:t xml:space="preserve">Fica o Poder Executivo autorizado a, por ato próprio, acrescentar novas áreas às de Especial Interesse Turístico, de acordo com as necessidades de garantias para as atividades turísticas.</w:t>
      </w:r>
    </w:p>
    <w:p w:rsidR="00000000" w:rsidDel="00000000" w:rsidP="00000000" w:rsidRDefault="00000000" w:rsidRPr="00000000" w14:paraId="00000016">
      <w:pPr>
        <w:spacing w:line="360" w:lineRule="auto"/>
        <w:ind w:left="213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IV - Fica o Poder Executivo autorizado a celebrar convênios com órgãos federais e estaduais de turismo, com objetivo de executar em conjunto programas de cooperação para as Áreas de Especial Interesse Turístico de Niterói. </w:t>
      </w:r>
    </w:p>
    <w:p w:rsidR="00000000" w:rsidDel="00000000" w:rsidP="00000000" w:rsidRDefault="00000000" w:rsidRPr="00000000" w14:paraId="00000017">
      <w:pPr>
        <w:spacing w:line="360" w:lineRule="auto"/>
        <w:ind w:left="213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V - As Áreas Especiais de Interesse Turístico serão instituídas por decreto do Poder Executivo, mediante proposta do Conselho Municipal Turismo, para fins de elaboração e execução de planos e programas destinados a:</w:t>
      </w:r>
    </w:p>
    <w:p w:rsidR="00000000" w:rsidDel="00000000" w:rsidP="00000000" w:rsidRDefault="00000000" w:rsidRPr="00000000" w14:paraId="00000018">
      <w:pPr>
        <w:ind w:left="2705"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a) - promover o desenvolvimento turístico;</w:t>
      </w:r>
    </w:p>
    <w:p w:rsidR="00000000" w:rsidDel="00000000" w:rsidP="00000000" w:rsidRDefault="00000000" w:rsidRPr="00000000" w14:paraId="00000019">
      <w:pPr>
        <w:ind w:left="2705"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b) - assegurar a preservação e valorização do patrimônio cultural e natural;</w:t>
      </w:r>
    </w:p>
    <w:p w:rsidR="00000000" w:rsidDel="00000000" w:rsidP="00000000" w:rsidRDefault="00000000" w:rsidRPr="00000000" w14:paraId="0000001A">
      <w:pPr>
        <w:ind w:left="2705"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c) - estabelecer normas de uso e ocupação do solo;e</w:t>
      </w:r>
    </w:p>
    <w:p w:rsidR="00000000" w:rsidDel="00000000" w:rsidP="00000000" w:rsidRDefault="00000000" w:rsidRPr="00000000" w14:paraId="0000001B">
      <w:pPr>
        <w:ind w:left="2705"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d) - orientar a alocação de recursos e incentivos necessários a atender aos objetivos e diretrizes para AEIT.</w:t>
      </w:r>
    </w:p>
    <w:p w:rsidR="00000000" w:rsidDel="00000000" w:rsidP="00000000" w:rsidRDefault="00000000" w:rsidRPr="00000000" w14:paraId="0000001C">
      <w:pPr>
        <w:spacing w:line="360" w:lineRule="auto"/>
        <w:ind w:left="0" w:firstLine="0"/>
        <w:jc w:val="both"/>
        <w:rPr>
          <w:rFonts w:ascii="Tahoma" w:cs="Tahoma" w:eastAsia="Tahoma" w:hAnsi="Tahoma"/>
          <w:b w:val="1"/>
          <w:color w:val="000000"/>
          <w:sz w:val="22"/>
          <w:szCs w:val="22"/>
          <w:highlight w:val="white"/>
        </w:rPr>
      </w:pPr>
      <w:r w:rsidDel="00000000" w:rsidR="00000000" w:rsidRPr="00000000">
        <w:rPr>
          <w:rtl w:val="0"/>
        </w:rPr>
      </w:r>
    </w:p>
    <w:p w:rsidR="00000000" w:rsidDel="00000000" w:rsidP="00000000" w:rsidRDefault="00000000" w:rsidRPr="00000000" w14:paraId="0000001D">
      <w:pPr>
        <w:spacing w:line="360" w:lineRule="auto"/>
        <w:ind w:left="720"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2º Serão permitidas nas Áreas de Especial Interesse Pesqueiro, definidas pelo Plano Diretor de Niterói, a implantação de estruturas físicas construídas e aparelhadas para atender às necessidades das atividades de movimentação e armazenagem de pescado e de mercadorias relacionadas à pesca, podendo ser dotadas de estruturas de entreposto de comercialização de pescado, de unidades de beneficiamento de pescado e de apoio à navegação de embarcações pesqueiras. </w:t>
      </w:r>
    </w:p>
    <w:p w:rsidR="00000000" w:rsidDel="00000000" w:rsidP="00000000" w:rsidRDefault="00000000" w:rsidRPr="00000000" w14:paraId="0000001E">
      <w:pPr>
        <w:spacing w:line="360" w:lineRule="auto"/>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F">
      <w:pPr>
        <w:spacing w:line="360" w:lineRule="auto"/>
        <w:ind w:left="213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 - A área de estrutura pesqueira é compreendida pelas instalações de apoio à atividade pesqueira, tais como, ancoradouros, docas, cais, pontes e piers de acostagem, terrenos, armazéns frigorificados, ou não, edificações, entrepostos e vias de circulação interna, bem como pela infraestrutura de proteção e acesso aquaviário ao Terminal Pesqueiro Público, compreendendo guias-correntes, quebra-mares, eclusas, canais, bacias de evolução e áreas de fundeio. </w:t>
      </w:r>
    </w:p>
    <w:p w:rsidR="00000000" w:rsidDel="00000000" w:rsidP="00000000" w:rsidRDefault="00000000" w:rsidRPr="00000000" w14:paraId="00000020">
      <w:pPr>
        <w:spacing w:line="360" w:lineRule="auto"/>
        <w:ind w:left="213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II - Ficam resguardadas as competências da autoridade portuária nas áreas e infraestruturas de proteção e acesso aquaviário utilizadas pela estrutura pesqueira. </w:t>
      </w:r>
    </w:p>
    <w:p w:rsidR="00000000" w:rsidDel="00000000" w:rsidP="00000000" w:rsidRDefault="00000000" w:rsidRPr="00000000" w14:paraId="00000021">
      <w:pPr>
        <w:spacing w:line="360" w:lineRule="auto"/>
        <w:ind w:left="213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III - São garantidos aos integrantes das comunidades tradicionais pesqueiras o acesso preferencial aos recursos naturais e seu usufruto permanente, bem como a consulta prévia e informada quanto aos planos e decisões que afetem de alguma forma o seu modo de vida e a gestão das Áreas de Especial Interesse Pesqueiro definidas pelo Plano Diretor de Niterói.  </w:t>
      </w:r>
    </w:p>
    <w:p w:rsidR="00000000" w:rsidDel="00000000" w:rsidP="00000000" w:rsidRDefault="00000000" w:rsidRPr="00000000" w14:paraId="00000022">
      <w:pPr>
        <w:spacing w:line="360" w:lineRule="auto"/>
        <w:ind w:left="213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IV - As comunidades serão representadas por suas organizações legalmente constituídas e compostas exclusivamente pelos seus membros.</w:t>
      </w:r>
    </w:p>
    <w:p w:rsidR="00000000" w:rsidDel="00000000" w:rsidP="00000000" w:rsidRDefault="00000000" w:rsidRPr="00000000" w14:paraId="00000023">
      <w:pPr>
        <w:ind w:left="567" w:firstLine="0"/>
        <w:jc w:val="right"/>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4">
      <w:pPr>
        <w:ind w:left="567" w:firstLine="0"/>
        <w:jc w:val="right"/>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5">
      <w:pPr>
        <w:ind w:left="567" w:firstLine="0"/>
        <w:jc w:val="right"/>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6">
      <w:pPr>
        <w:ind w:left="567" w:firstLine="0"/>
        <w:jc w:val="right"/>
        <w:rPr>
          <w:rFonts w:ascii="Tahoma" w:cs="Tahoma" w:eastAsia="Tahoma" w:hAnsi="Tahoma"/>
          <w:sz w:val="22"/>
          <w:szCs w:val="22"/>
        </w:rPr>
      </w:pPr>
      <w:r w:rsidDel="00000000" w:rsidR="00000000" w:rsidRPr="00000000">
        <w:rPr>
          <w:rFonts w:ascii="Tahoma" w:cs="Tahoma" w:eastAsia="Tahoma" w:hAnsi="Tahoma"/>
          <w:sz w:val="22"/>
          <w:szCs w:val="22"/>
          <w:rtl w:val="0"/>
        </w:rPr>
        <w:t xml:space="preserve">Sala das Sessões, 26 de setembro de 2023.</w:t>
      </w:r>
    </w:p>
    <w:p w:rsidR="00000000" w:rsidDel="00000000" w:rsidP="00000000" w:rsidRDefault="00000000" w:rsidRPr="00000000" w14:paraId="00000027">
      <w:pPr>
        <w:pStyle w:val="Heading5"/>
        <w:spacing w:after="0" w:before="0" w:lineRule="auto"/>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8">
      <w:pPr>
        <w:shd w:fill="ffffff" w:val="clea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9">
      <w:pPr>
        <w:shd w:fill="ffffff" w:val="clea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A">
      <w:pPr>
        <w:shd w:fill="ffffff" w:val="clea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B">
      <w:pPr>
        <w:shd w:fill="ffffff" w:val="clea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C">
      <w:pPr>
        <w:shd w:fill="ffffff" w:val="clea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D">
      <w:pPr>
        <w:shd w:fill="ffffff" w:val="clea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E">
      <w:pPr>
        <w:shd w:fill="ffffff" w:val="clea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Daniel Marques</w:t>
      </w:r>
    </w:p>
    <w:p w:rsidR="00000000" w:rsidDel="00000000" w:rsidP="00000000" w:rsidRDefault="00000000" w:rsidRPr="00000000" w14:paraId="0000002F">
      <w:pPr>
        <w:shd w:fill="ffffff" w:val="clea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0">
      <w:pPr>
        <w:shd w:fill="ffffff" w:val="clea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Vereador </w:t>
      </w:r>
    </w:p>
    <w:p w:rsidR="00000000" w:rsidDel="00000000" w:rsidP="00000000" w:rsidRDefault="00000000" w:rsidRPr="00000000" w14:paraId="00000031">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2">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3">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4">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5">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6">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7">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8">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JUSTIFICATIVA:</w:t>
      </w:r>
    </w:p>
    <w:p w:rsidR="00000000" w:rsidDel="00000000" w:rsidP="00000000" w:rsidRDefault="00000000" w:rsidRPr="00000000" w14:paraId="00000039">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A">
      <w:pPr>
        <w:spacing w:line="360" w:lineRule="auto"/>
        <w:ind w:firstLine="1134"/>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 intuito da presente emenda é estabelecer as áreas de interesse de Niterói, como aquelas de significativa relevância para o turismo da cidade e/ou para a histórica atividade pesqueira profissional do município. </w:t>
      </w:r>
    </w:p>
    <w:p w:rsidR="00000000" w:rsidDel="00000000" w:rsidP="00000000" w:rsidRDefault="00000000" w:rsidRPr="00000000" w14:paraId="0000003B">
      <w:pPr>
        <w:spacing w:line="360" w:lineRule="auto"/>
        <w:ind w:firstLine="1134"/>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 atividade pesqueira sempre foi de significativa importância para a economia de Niterói, mas também tem uma expressiva ligação com a história do município.  A  comunidade  de  Jurujuba, como um dos exemplo,  possui  traços  semelhantes  aos  das  “comunidades  tradicionais”  (DIEGUES,  1994), uma vez que se baseava economicamente  no  uso  dos  recursos  naturais  renováveis da Baía de Guanabara, com a atuação voltada à pesca artesanal. A atividade pesqueira no local era realizada através do conhecimento, </w:t>
      </w:r>
      <w:r w:rsidDel="00000000" w:rsidR="00000000" w:rsidRPr="00000000">
        <w:rPr>
          <w:rFonts w:ascii="Tahoma" w:cs="Tahoma" w:eastAsia="Tahoma" w:hAnsi="Tahoma"/>
          <w:i w:val="1"/>
          <w:sz w:val="22"/>
          <w:szCs w:val="22"/>
          <w:highlight w:val="white"/>
          <w:rtl w:val="0"/>
        </w:rPr>
        <w:t xml:space="preserve">know-how,</w:t>
      </w:r>
      <w:r w:rsidDel="00000000" w:rsidR="00000000" w:rsidRPr="00000000">
        <w:rPr>
          <w:rFonts w:ascii="Tahoma" w:cs="Tahoma" w:eastAsia="Tahoma" w:hAnsi="Tahoma"/>
          <w:sz w:val="22"/>
          <w:szCs w:val="22"/>
          <w:highlight w:val="white"/>
          <w:rtl w:val="0"/>
        </w:rPr>
        <w:t xml:space="preserve"> tradicional transmitido de pais para filhos. O conhecimento tradicional promovido por esses pescadores garante a coleta sustentável dos recursos naturais. </w:t>
      </w:r>
    </w:p>
    <w:p w:rsidR="00000000" w:rsidDel="00000000" w:rsidP="00000000" w:rsidRDefault="00000000" w:rsidRPr="00000000" w14:paraId="0000003C">
      <w:pPr>
        <w:spacing w:line="360" w:lineRule="auto"/>
        <w:ind w:firstLine="1134"/>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 importância cultural e histórica da atividade pesqueira é clara e relevante para a cidade. Por essa razão, há o interesse público na área, com o propósito de  preservar as atividades de pesca profissional, o desenvolvimento econômico sustentável, a geração de renda para as famílias dependente da atividade tradicional e aquelas necessárias à preservação das espécies pesqueiras, bem como as de apoio às atividades de pesca e a preservação do direito das comunidades pesqueiras ao seu espaço vital. </w:t>
      </w:r>
    </w:p>
    <w:p w:rsidR="00000000" w:rsidDel="00000000" w:rsidP="00000000" w:rsidRDefault="00000000" w:rsidRPr="00000000" w14:paraId="0000003D">
      <w:pPr>
        <w:spacing w:line="360" w:lineRule="auto"/>
        <w:ind w:firstLine="1134"/>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Faz parte do Plano Diretor de Niterói, de 2019 (NITERÓI, Lei nº 3385 de 21 de janeiro de 2019), o estabelecimento das áreas de especial interesse no Município. Nessa legislação urbanística, são essas:</w:t>
      </w:r>
    </w:p>
    <w:p w:rsidR="00000000" w:rsidDel="00000000" w:rsidP="00000000" w:rsidRDefault="00000000" w:rsidRPr="00000000" w14:paraId="0000003E">
      <w:pPr>
        <w:spacing w:line="360" w:lineRule="auto"/>
        <w:ind w:firstLine="1134"/>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03F">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Art. 99. As Áreas de Especial Interesse são instrumentos da política urbana e ambiental e caracterizam-se por um interesse público definido, sendo classificadas nas seguintes categorias: </w:t>
      </w:r>
    </w:p>
    <w:p w:rsidR="00000000" w:rsidDel="00000000" w:rsidP="00000000" w:rsidRDefault="00000000" w:rsidRPr="00000000" w14:paraId="00000040">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 – </w:t>
      </w:r>
      <w:r w:rsidDel="00000000" w:rsidR="00000000" w:rsidRPr="00000000">
        <w:rPr>
          <w:rFonts w:ascii="Tahoma" w:cs="Tahoma" w:eastAsia="Tahoma" w:hAnsi="Tahoma"/>
          <w:b w:val="1"/>
          <w:sz w:val="22"/>
          <w:szCs w:val="22"/>
          <w:highlight w:val="white"/>
          <w:rtl w:val="0"/>
        </w:rPr>
        <w:t xml:space="preserve">Área de Especial Interesse Turístico</w:t>
      </w:r>
      <w:r w:rsidDel="00000000" w:rsidR="00000000" w:rsidRPr="00000000">
        <w:rPr>
          <w:rFonts w:ascii="Tahoma" w:cs="Tahoma" w:eastAsia="Tahoma" w:hAnsi="Tahoma"/>
          <w:sz w:val="22"/>
          <w:szCs w:val="22"/>
          <w:highlight w:val="white"/>
          <w:rtl w:val="0"/>
        </w:rPr>
        <w:t xml:space="preserve">, aquela onde há interesse público em se aproveitar o potencial turístico e para a qual se façam necessários investimentos e intervenções visando ao desenvolvimento da atividade turística; </w:t>
      </w:r>
    </w:p>
    <w:p w:rsidR="00000000" w:rsidDel="00000000" w:rsidP="00000000" w:rsidRDefault="00000000" w:rsidRPr="00000000" w14:paraId="00000041">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II –</w:t>
      </w:r>
      <w:r w:rsidDel="00000000" w:rsidR="00000000" w:rsidRPr="00000000">
        <w:rPr>
          <w:rFonts w:ascii="Tahoma" w:cs="Tahoma" w:eastAsia="Tahoma" w:hAnsi="Tahoma"/>
          <w:b w:val="1"/>
          <w:sz w:val="22"/>
          <w:szCs w:val="22"/>
          <w:highlight w:val="white"/>
          <w:rtl w:val="0"/>
        </w:rPr>
        <w:t xml:space="preserve"> Área de Especial Interesse Agrícola</w:t>
      </w:r>
      <w:r w:rsidDel="00000000" w:rsidR="00000000" w:rsidRPr="00000000">
        <w:rPr>
          <w:rFonts w:ascii="Tahoma" w:cs="Tahoma" w:eastAsia="Tahoma" w:hAnsi="Tahoma"/>
          <w:sz w:val="22"/>
          <w:szCs w:val="22"/>
          <w:highlight w:val="white"/>
          <w:rtl w:val="0"/>
        </w:rPr>
        <w:t xml:space="preserve">, aquela onde há interesse público de preservar atividades agropecuárias e aquelas de apoio ao sistema da produção e comercialização agrícola, com a criação de mecanismos que visem à comercialização direta do produtor para o consumidor, melhorando o sistema de abastecimento, o estabelecimento de legislação restritiva ao microparcelamento nas Áreas de Especial Interesse Agrícola, o incentivo à produção sem agrotóxicos e à criação de pequenos animais e orientação e estímulo às atividades adequadas às pequenas propriedades e que se harmonizem com o ambiente natural; </w:t>
      </w:r>
    </w:p>
    <w:p w:rsidR="00000000" w:rsidDel="00000000" w:rsidP="00000000" w:rsidRDefault="00000000" w:rsidRPr="00000000" w14:paraId="00000042">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III – </w:t>
      </w:r>
      <w:r w:rsidDel="00000000" w:rsidR="00000000" w:rsidRPr="00000000">
        <w:rPr>
          <w:rFonts w:ascii="Tahoma" w:cs="Tahoma" w:eastAsia="Tahoma" w:hAnsi="Tahoma"/>
          <w:b w:val="1"/>
          <w:sz w:val="22"/>
          <w:szCs w:val="22"/>
          <w:highlight w:val="white"/>
          <w:rtl w:val="0"/>
        </w:rPr>
        <w:t xml:space="preserve">Área de Especial Interesse Pesqueiro</w:t>
      </w:r>
      <w:r w:rsidDel="00000000" w:rsidR="00000000" w:rsidRPr="00000000">
        <w:rPr>
          <w:rFonts w:ascii="Tahoma" w:cs="Tahoma" w:eastAsia="Tahoma" w:hAnsi="Tahoma"/>
          <w:sz w:val="22"/>
          <w:szCs w:val="22"/>
          <w:highlight w:val="white"/>
          <w:rtl w:val="0"/>
        </w:rPr>
        <w:t xml:space="preserve">, aquela onde há interesse público de preservar as atividades de pesca profissional e aquelas necessárias à preservação das espécies pesqueiras, bem como as de apoio às atividades de pesca, a preservação do direito das comunidades pesqueiras ao seu espaço vital; </w:t>
      </w:r>
    </w:p>
    <w:p w:rsidR="00000000" w:rsidDel="00000000" w:rsidP="00000000" w:rsidRDefault="00000000" w:rsidRPr="00000000" w14:paraId="00000043">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IV – </w:t>
      </w:r>
      <w:r w:rsidDel="00000000" w:rsidR="00000000" w:rsidRPr="00000000">
        <w:rPr>
          <w:rFonts w:ascii="Tahoma" w:cs="Tahoma" w:eastAsia="Tahoma" w:hAnsi="Tahoma"/>
          <w:b w:val="1"/>
          <w:sz w:val="22"/>
          <w:szCs w:val="22"/>
          <w:highlight w:val="white"/>
          <w:rtl w:val="0"/>
        </w:rPr>
        <w:t xml:space="preserve">Área de Especial Interesse Econômico</w:t>
      </w:r>
      <w:r w:rsidDel="00000000" w:rsidR="00000000" w:rsidRPr="00000000">
        <w:rPr>
          <w:rFonts w:ascii="Tahoma" w:cs="Tahoma" w:eastAsia="Tahoma" w:hAnsi="Tahoma"/>
          <w:sz w:val="22"/>
          <w:szCs w:val="22"/>
          <w:highlight w:val="white"/>
          <w:rtl w:val="0"/>
        </w:rPr>
        <w:t xml:space="preserve">, aquela onde há interesse em preservar, implantar e incentivar alguma outra atividade econômica definida. </w:t>
      </w:r>
    </w:p>
    <w:p w:rsidR="00000000" w:rsidDel="00000000" w:rsidP="00000000" w:rsidRDefault="00000000" w:rsidRPr="00000000" w14:paraId="00000044">
      <w:pPr>
        <w:spacing w:line="360" w:lineRule="auto"/>
        <w:ind w:left="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ab/>
        <w:t xml:space="preserve">Além da Área de Especial Interesse Pesqueiro, segundo as determinações do próprio Plano Diretor, é importante tratar também da Área de Especial Interesse Turístico, diante do potencial turístico que Niterói </w:t>
      </w:r>
      <w:r w:rsidDel="00000000" w:rsidR="00000000" w:rsidRPr="00000000">
        <w:rPr>
          <w:rFonts w:ascii="Tahoma" w:cs="Tahoma" w:eastAsia="Tahoma" w:hAnsi="Tahoma"/>
          <w:sz w:val="22"/>
          <w:szCs w:val="22"/>
          <w:highlight w:val="white"/>
          <w:rtl w:val="0"/>
        </w:rPr>
        <w:t xml:space="preserve">representa</w:t>
      </w:r>
      <w:r w:rsidDel="00000000" w:rsidR="00000000" w:rsidRPr="00000000">
        <w:rPr>
          <w:rFonts w:ascii="Tahoma" w:cs="Tahoma" w:eastAsia="Tahoma" w:hAnsi="Tahoma"/>
          <w:sz w:val="22"/>
          <w:szCs w:val="22"/>
          <w:highlight w:val="white"/>
          <w:rtl w:val="0"/>
        </w:rPr>
        <w:t xml:space="preserve"> no estado do Rio de Janeiro. </w:t>
      </w:r>
    </w:p>
    <w:p w:rsidR="00000000" w:rsidDel="00000000" w:rsidP="00000000" w:rsidRDefault="00000000" w:rsidRPr="00000000" w14:paraId="00000045">
      <w:pPr>
        <w:spacing w:line="360" w:lineRule="auto"/>
        <w:ind w:left="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ab/>
        <w:t xml:space="preserve">De acordo com o Inventário de Oferta Turística do Rio de Janeiro (IOT-RIO, 2018), Niterói possui</w:t>
      </w:r>
    </w:p>
    <w:p w:rsidR="00000000" w:rsidDel="00000000" w:rsidP="00000000" w:rsidRDefault="00000000" w:rsidRPr="00000000" w14:paraId="00000046">
      <w:pPr>
        <w:spacing w:line="36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amplos meios de hospedagem (hotéis, pousadas, hostels, flats, entre outros) e bairros diversificados em</w:t>
      </w:r>
    </w:p>
    <w:p w:rsidR="00000000" w:rsidDel="00000000" w:rsidP="00000000" w:rsidRDefault="00000000" w:rsidRPr="00000000" w14:paraId="00000047">
      <w:pPr>
        <w:spacing w:line="36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ofertas, com museus, teatros e a Região Oceânica em si, local das melhores praias do município. Um importante setor turístico de Niterói é o turismo de negócios, de acordo com o IOT (2018), mesmo que a cidade também seja referência no turismo cultural, possuindo uma grande variedade de pontos turísticos e eventos musicais e culturais.</w:t>
      </w:r>
    </w:p>
    <w:p w:rsidR="00000000" w:rsidDel="00000000" w:rsidP="00000000" w:rsidRDefault="00000000" w:rsidRPr="00000000" w14:paraId="00000048">
      <w:pPr>
        <w:spacing w:line="360" w:lineRule="auto"/>
        <w:ind w:firstLine="72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 setor de turismo no Município de Niterói, segundo o relatório do Observatório do Turismo, tem “um grande potencial para contribuir no processo de crescimento e de desenvolvimento econômico, gerando emprego, renda e melhorando a qualidade de vida da população local, o que está alinhado às diretrizes definidas no ‘Plano Estratégico 2013-2033: Niterói que Queremos’.”</w:t>
      </w:r>
    </w:p>
    <w:p w:rsidR="00000000" w:rsidDel="00000000" w:rsidP="00000000" w:rsidRDefault="00000000" w:rsidRPr="00000000" w14:paraId="00000049">
      <w:pPr>
        <w:spacing w:line="360" w:lineRule="auto"/>
        <w:ind w:firstLine="72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Sendo, portanto, objetivo da Prefeitura de Niterói, como reiterado em diversas oportunidades, fomentar o turismo da cidade, se propõe que isso seja explícito na Lei Urbanística, trazendo a presença da Àrea de Especial Interesse Turístico e suas vantagens para a região em que é compreendida. </w:t>
      </w:r>
    </w:p>
    <w:p w:rsidR="00000000" w:rsidDel="00000000" w:rsidP="00000000" w:rsidRDefault="00000000" w:rsidRPr="00000000" w14:paraId="0000004A">
      <w:pPr>
        <w:spacing w:line="360" w:lineRule="auto"/>
        <w:ind w:firstLine="72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Ainda segundo o Plano Diretor de Niterói:</w:t>
      </w:r>
    </w:p>
    <w:p w:rsidR="00000000" w:rsidDel="00000000" w:rsidP="00000000" w:rsidRDefault="00000000" w:rsidRPr="00000000" w14:paraId="0000004B">
      <w:pPr>
        <w:spacing w:line="360" w:lineRule="auto"/>
        <w:ind w:firstLine="720"/>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04C">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“Art. 10. São objetivos estratégicos do Plano Diretor:</w:t>
      </w:r>
    </w:p>
    <w:p w:rsidR="00000000" w:rsidDel="00000000" w:rsidP="00000000" w:rsidRDefault="00000000" w:rsidRPr="00000000" w14:paraId="0000004D">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XII – </w:t>
      </w:r>
      <w:r w:rsidDel="00000000" w:rsidR="00000000" w:rsidRPr="00000000">
        <w:rPr>
          <w:rFonts w:ascii="Tahoma" w:cs="Tahoma" w:eastAsia="Tahoma" w:hAnsi="Tahoma"/>
          <w:b w:val="1"/>
          <w:sz w:val="22"/>
          <w:szCs w:val="22"/>
          <w:highlight w:val="white"/>
          <w:rtl w:val="0"/>
        </w:rPr>
        <w:t xml:space="preserve">promover e incentivar o turismo</w:t>
      </w:r>
      <w:r w:rsidDel="00000000" w:rsidR="00000000" w:rsidRPr="00000000">
        <w:rPr>
          <w:rFonts w:ascii="Tahoma" w:cs="Tahoma" w:eastAsia="Tahoma" w:hAnsi="Tahoma"/>
          <w:sz w:val="22"/>
          <w:szCs w:val="22"/>
          <w:highlight w:val="white"/>
          <w:rtl w:val="0"/>
        </w:rPr>
        <w:t xml:space="preserve"> como fator de desenvolvimento econômico e social, respeitando e valorizando o patrimônio cultural e natural e observando as peculiaridades locais”</w:t>
      </w:r>
    </w:p>
    <w:p w:rsidR="00000000" w:rsidDel="00000000" w:rsidP="00000000" w:rsidRDefault="00000000" w:rsidRPr="00000000" w14:paraId="0000004E">
      <w:pPr>
        <w:spacing w:line="360" w:lineRule="auto"/>
        <w:ind w:left="2880" w:firstLine="0"/>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04F">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“Art. 278. O Sistema Municipal de Planejamento Urbano e Gestão do Plano Diretor de Niterói tem como objetivos:</w:t>
      </w:r>
    </w:p>
    <w:p w:rsidR="00000000" w:rsidDel="00000000" w:rsidP="00000000" w:rsidRDefault="00000000" w:rsidRPr="00000000" w14:paraId="00000050">
      <w:pPr>
        <w:spacing w:line="360" w:lineRule="auto"/>
        <w:ind w:left="2880" w:firstLine="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VII – estimular ações alinhadas às diretrizes do Plano Diretor, em especial quanto aos aspectos de </w:t>
      </w:r>
      <w:r w:rsidDel="00000000" w:rsidR="00000000" w:rsidRPr="00000000">
        <w:rPr>
          <w:rFonts w:ascii="Tahoma" w:cs="Tahoma" w:eastAsia="Tahoma" w:hAnsi="Tahoma"/>
          <w:b w:val="1"/>
          <w:sz w:val="22"/>
          <w:szCs w:val="22"/>
          <w:highlight w:val="white"/>
          <w:rtl w:val="0"/>
        </w:rPr>
        <w:t xml:space="preserve">sustentabilidade ambiental e econômica, qualidade de vida, turismo, cultura, esporte e social</w:t>
      </w:r>
      <w:r w:rsidDel="00000000" w:rsidR="00000000" w:rsidRPr="00000000">
        <w:rPr>
          <w:rFonts w:ascii="Tahoma" w:cs="Tahoma" w:eastAsia="Tahoma" w:hAnsi="Tahoma"/>
          <w:sz w:val="22"/>
          <w:szCs w:val="22"/>
          <w:highlight w:val="white"/>
          <w:rtl w:val="0"/>
        </w:rPr>
        <w:t xml:space="preserve">;”</w:t>
      </w:r>
    </w:p>
    <w:p w:rsidR="00000000" w:rsidDel="00000000" w:rsidP="00000000" w:rsidRDefault="00000000" w:rsidRPr="00000000" w14:paraId="00000051">
      <w:pPr>
        <w:spacing w:line="360" w:lineRule="auto"/>
        <w:ind w:left="0" w:firstLine="0"/>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052">
      <w:pPr>
        <w:spacing w:line="360" w:lineRule="auto"/>
        <w:ind w:firstLine="720"/>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De forma a reproduzir determinações tão relevantes para essas regiões, expostas no Plano Diretor, garantindo a harmonia da legislação de planejamento urbanístico, a presente emenda expõe sua proposta. Não podendo deixar de apresentar como estratégia para a continuidade de propostas realizadas por essa Administração Pública no sentido de fomentar e fortalecer o turismo da cidade.  </w:t>
      </w:r>
    </w:p>
    <w:p w:rsidR="00000000" w:rsidDel="00000000" w:rsidP="00000000" w:rsidRDefault="00000000" w:rsidRPr="00000000" w14:paraId="00000053">
      <w:pPr>
        <w:spacing w:line="360" w:lineRule="auto"/>
        <w:ind w:left="0" w:firstLine="720"/>
        <w:jc w:val="both"/>
        <w:rPr>
          <w:rFonts w:ascii="Tahoma" w:cs="Tahoma" w:eastAsia="Tahoma" w:hAnsi="Tahoma"/>
          <w:sz w:val="22"/>
          <w:szCs w:val="22"/>
        </w:rPr>
      </w:pPr>
      <w:r w:rsidDel="00000000" w:rsidR="00000000" w:rsidRPr="00000000">
        <w:rPr>
          <w:rFonts w:ascii="Tahoma" w:cs="Tahoma" w:eastAsia="Tahoma" w:hAnsi="Tahoma"/>
          <w:sz w:val="22"/>
          <w:szCs w:val="22"/>
          <w:highlight w:val="white"/>
          <w:rtl w:val="0"/>
        </w:rPr>
        <w:t xml:space="preserve">Por essa razão, c</w:t>
      </w:r>
      <w:r w:rsidDel="00000000" w:rsidR="00000000" w:rsidRPr="00000000">
        <w:rPr>
          <w:rFonts w:ascii="Tahoma" w:cs="Tahoma" w:eastAsia="Tahoma" w:hAnsi="Tahoma"/>
          <w:sz w:val="22"/>
          <w:szCs w:val="22"/>
          <w:rtl w:val="0"/>
        </w:rPr>
        <w:t xml:space="preserve">ontamos com o apoio dos nobres pares para aprovação da presente emenda.</w:t>
      </w:r>
    </w:p>
    <w:p w:rsidR="00000000" w:rsidDel="00000000" w:rsidP="00000000" w:rsidRDefault="00000000" w:rsidRPr="00000000" w14:paraId="00000054">
      <w:pPr>
        <w:rPr>
          <w:rFonts w:ascii="Tahoma" w:cs="Tahoma" w:eastAsia="Tahoma" w:hAnsi="Tahoma"/>
          <w:b w:val="1"/>
          <w:sz w:val="22"/>
          <w:szCs w:val="22"/>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7" w:w="11905" w:orient="portrait"/>
      <w:pgMar w:bottom="1134" w:top="1134" w:left="1005" w:right="70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i w:val="1"/>
        <w:sz w:val="16"/>
        <w:szCs w:val="16"/>
      </w:rPr>
    </w:pPr>
    <w:r w:rsidDel="00000000" w:rsidR="00000000" w:rsidRPr="00000000">
      <w:rPr>
        <w:rFonts w:ascii="Tahoma" w:cs="Tahoma" w:eastAsia="Tahoma" w:hAnsi="Tahoma"/>
        <w:b w:val="1"/>
        <w:i w:val="1"/>
        <w:sz w:val="16"/>
        <w:szCs w:val="16"/>
        <w:rtl w:val="0"/>
      </w:rPr>
      <w:t xml:space="preserve">Av. Amaral Peixoto, 625 / Gabinete: 30 – Centro – Niterói – RJ – CEP.: 24.023-900   RG</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252"/>
        <w:tab w:val="right" w:leader="none" w:pos="8504"/>
      </w:tabs>
      <w:jc w:val="center"/>
      <w:rPr>
        <w:b w:val="1"/>
        <w:i w:val="1"/>
        <w:sz w:val="16"/>
        <w:szCs w:val="16"/>
      </w:rPr>
    </w:pPr>
    <w:r w:rsidDel="00000000" w:rsidR="00000000" w:rsidRPr="00000000">
      <w:rPr>
        <w:rFonts w:ascii="Tahoma" w:cs="Tahoma" w:eastAsia="Tahoma" w:hAnsi="Tahoma"/>
        <w:b w:val="1"/>
        <w:i w:val="1"/>
        <w:sz w:val="16"/>
        <w:szCs w:val="16"/>
        <w:rtl w:val="0"/>
      </w:rPr>
      <w:t xml:space="preserve">Telefone</w:t>
    </w:r>
    <w:r w:rsidDel="00000000" w:rsidR="00000000" w:rsidRPr="00000000">
      <w:rPr>
        <w:b w:val="1"/>
        <w:i w:val="1"/>
        <w:sz w:val="16"/>
        <w:szCs w:val="16"/>
        <w:rtl w:val="0"/>
      </w:rPr>
      <w:t xml:space="preserve"> – 2620.1321</w:t>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i w:val="1"/>
        <w:sz w:val="16"/>
        <w:szCs w:val="16"/>
      </w:rPr>
    </w:pPr>
    <w:r w:rsidDel="00000000" w:rsidR="00000000" w:rsidRPr="00000000">
      <w:rPr>
        <w:rFonts w:ascii="Tahoma" w:cs="Tahoma" w:eastAsia="Tahoma" w:hAnsi="Tahoma"/>
        <w:b w:val="1"/>
        <w:i w:val="1"/>
        <w:sz w:val="16"/>
        <w:szCs w:val="16"/>
        <w:rtl w:val="0"/>
      </w:rPr>
      <w:t xml:space="preserve">E-mail: vereadordanielmarques@gmail.com</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22"/>
        <w:szCs w:val="22"/>
      </w:rPr>
    </w:pPr>
    <w:r w:rsidDel="00000000" w:rsidR="00000000" w:rsidRPr="00000000">
      <w:rPr>
        <w:rtl w:val="0"/>
      </w:rPr>
    </w:r>
  </w:p>
  <w:tbl>
    <w:tblPr>
      <w:tblStyle w:val="Table1"/>
      <w:tblW w:w="9648.0" w:type="dxa"/>
      <w:jc w:val="left"/>
      <w:tblInd w:w="-6.999999999999993" w:type="dxa"/>
      <w:tblLayout w:type="fixed"/>
      <w:tblLook w:val="0000"/>
    </w:tblPr>
    <w:tblGrid>
      <w:gridCol w:w="1728"/>
      <w:gridCol w:w="7920"/>
      <w:tblGridChange w:id="0">
        <w:tblGrid>
          <w:gridCol w:w="1728"/>
          <w:gridCol w:w="7920"/>
        </w:tblGrid>
      </w:tblGridChange>
    </w:tblGrid>
    <w:tr>
      <w:trPr>
        <w:cantSplit w:val="0"/>
        <w:trHeight w:val="1971" w:hRule="atLeast"/>
        <w:tblHeader w:val="0"/>
      </w:trPr>
      <w:tc>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933450" cy="1123950"/>
                <wp:effectExtent b="0" l="0" r="0" t="0"/>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33450" cy="1123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i w:val="0"/>
              <w:smallCaps w:val="0"/>
              <w:strike w:val="0"/>
              <w:color w:val="000000"/>
              <w:sz w:val="48"/>
              <w:szCs w:val="48"/>
              <w:u w:val="none"/>
              <w:shd w:fill="auto" w:val="clear"/>
              <w:vertAlign w:val="baseline"/>
            </w:rPr>
          </w:pPr>
          <w:r w:rsidDel="00000000" w:rsidR="00000000" w:rsidRPr="00000000">
            <w:rPr>
              <w:rFonts w:ascii="Tahoma" w:cs="Tahoma" w:eastAsia="Tahoma" w:hAnsi="Tahoma"/>
              <w:b w:val="1"/>
              <w:i w:val="0"/>
              <w:smallCaps w:val="0"/>
              <w:strike w:val="0"/>
              <w:color w:val="000000"/>
              <w:sz w:val="48"/>
              <w:szCs w:val="48"/>
              <w:u w:val="none"/>
              <w:shd w:fill="auto" w:val="clear"/>
              <w:vertAlign w:val="baseline"/>
              <w:rtl w:val="0"/>
            </w:rPr>
            <w:t xml:space="preserve">Câmara Municipal de Niterói</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Fonts w:ascii="Tahoma" w:cs="Tahoma" w:eastAsia="Tahoma" w:hAnsi="Tahoma"/>
              <w:b w:val="1"/>
              <w:i w:val="0"/>
              <w:smallCaps w:val="0"/>
              <w:strike w:val="0"/>
              <w:color w:val="000000"/>
              <w:sz w:val="28"/>
              <w:szCs w:val="28"/>
              <w:u w:val="none"/>
              <w:shd w:fill="auto" w:val="clear"/>
              <w:vertAlign w:val="baseline"/>
              <w:rtl w:val="0"/>
            </w:rPr>
            <w:t xml:space="preserve">Gabinete Vereador Daniel Marques</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3397"/>
        <w:tab w:val="left" w:leader="none" w:pos="13460"/>
      </w:tabs>
      <w:ind w:left="566"/>
      <w:jc w:val="center"/>
    </w:pPr>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after="60" w:before="240" w:lineRule="auto"/>
    </w:pPr>
    <w:rPr>
      <w:rFonts w:ascii="Calibri" w:cs="Calibri" w:eastAsia="Calibri" w:hAnsi="Calibri"/>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27981"/>
    <w:pPr>
      <w:widowControl w:val="0"/>
      <w:suppressAutoHyphens w:val="1"/>
    </w:pPr>
    <w:rPr>
      <w:rFonts w:eastAsia="Lucida Sans Unicode"/>
      <w:kern w:val="1"/>
      <w:sz w:val="24"/>
      <w:szCs w:val="24"/>
      <w:lang w:eastAsia="ar-SA"/>
    </w:rPr>
  </w:style>
  <w:style w:type="paragraph" w:styleId="Ttulo1">
    <w:name w:val="heading 1"/>
    <w:basedOn w:val="Normal"/>
    <w:next w:val="Normal"/>
    <w:qFormat w:val="1"/>
    <w:rsid w:val="00427981"/>
    <w:pPr>
      <w:keepNext w:val="1"/>
      <w:tabs>
        <w:tab w:val="num" w:pos="432"/>
        <w:tab w:val="left" w:pos="3397"/>
        <w:tab w:val="left" w:pos="13460"/>
      </w:tabs>
      <w:autoSpaceDE w:val="0"/>
      <w:ind w:left="566"/>
      <w:jc w:val="center"/>
      <w:outlineLvl w:val="0"/>
    </w:pPr>
    <w:rPr>
      <w:rFonts w:eastAsia="Arial Unicode MS"/>
      <w:bCs w:val="1"/>
      <w:iCs w:val="1"/>
    </w:rPr>
  </w:style>
  <w:style w:type="paragraph" w:styleId="Ttulo5">
    <w:name w:val="heading 5"/>
    <w:basedOn w:val="Normal"/>
    <w:next w:val="Normal"/>
    <w:qFormat w:val="1"/>
    <w:rsid w:val="00427981"/>
    <w:pPr>
      <w:tabs>
        <w:tab w:val="num" w:pos="1008"/>
      </w:tabs>
      <w:spacing w:after="60" w:before="240"/>
      <w:outlineLvl w:val="4"/>
    </w:pPr>
    <w:rPr>
      <w:rFonts w:ascii="Calibri" w:hAnsi="Calibri"/>
      <w:bCs w:val="1"/>
      <w:iCs w:val="1"/>
      <w:sz w:val="26"/>
      <w:szCs w:val="2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Fontepargpadro2" w:customStyle="1">
    <w:name w:val="Fonte parág. padrão2"/>
    <w:rsid w:val="00427981"/>
  </w:style>
  <w:style w:type="character" w:styleId="Fontepargpadro1" w:customStyle="1">
    <w:name w:val="Fonte parág. padrão1"/>
    <w:rsid w:val="00427981"/>
  </w:style>
  <w:style w:type="character" w:styleId="Absatz-Standardschriftart" w:customStyle="1">
    <w:name w:val="Absatz-Standardschriftart"/>
    <w:rsid w:val="00427981"/>
  </w:style>
  <w:style w:type="paragraph" w:styleId="Ttulo3" w:customStyle="1">
    <w:name w:val="Título3"/>
    <w:basedOn w:val="Normal"/>
    <w:next w:val="Corpodetexto"/>
    <w:rsid w:val="00427981"/>
    <w:pPr>
      <w:keepNext w:val="1"/>
      <w:spacing w:after="120" w:before="240"/>
    </w:pPr>
    <w:rPr>
      <w:rFonts w:ascii="Arial" w:cs="Tahoma" w:hAnsi="Arial"/>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styleId="Legenda4" w:customStyle="1">
    <w:name w:val="Legenda4"/>
    <w:basedOn w:val="Normal"/>
    <w:rsid w:val="00427981"/>
    <w:pPr>
      <w:suppressLineNumbers w:val="1"/>
      <w:spacing w:after="120" w:before="120"/>
    </w:pPr>
    <w:rPr>
      <w:rFonts w:cs="Tahoma"/>
      <w:i w:val="1"/>
      <w:iCs w:val="1"/>
    </w:rPr>
  </w:style>
  <w:style w:type="paragraph" w:styleId="ndice" w:customStyle="1">
    <w:name w:val="Índice"/>
    <w:basedOn w:val="Normal"/>
    <w:rsid w:val="00427981"/>
    <w:pPr>
      <w:suppressLineNumbers w:val="1"/>
    </w:pPr>
    <w:rPr>
      <w:rFonts w:cs="Tahoma"/>
    </w:rPr>
  </w:style>
  <w:style w:type="paragraph" w:styleId="Ttulo2" w:customStyle="1">
    <w:name w:val="Título2"/>
    <w:basedOn w:val="Normal"/>
    <w:next w:val="Corpodetexto"/>
    <w:rsid w:val="00427981"/>
    <w:pPr>
      <w:keepNext w:val="1"/>
      <w:spacing w:after="120" w:before="240"/>
    </w:pPr>
    <w:rPr>
      <w:rFonts w:ascii="Arial" w:cs="Tahoma" w:hAnsi="Arial"/>
      <w:sz w:val="28"/>
      <w:szCs w:val="28"/>
    </w:rPr>
  </w:style>
  <w:style w:type="paragraph" w:styleId="Legenda3" w:customStyle="1">
    <w:name w:val="Legenda3"/>
    <w:basedOn w:val="Normal"/>
    <w:rsid w:val="00427981"/>
    <w:pPr>
      <w:suppressLineNumbers w:val="1"/>
      <w:spacing w:after="120" w:before="120"/>
    </w:pPr>
    <w:rPr>
      <w:rFonts w:cs="Tahoma"/>
      <w:i w:val="1"/>
      <w:iCs w:val="1"/>
    </w:rPr>
  </w:style>
  <w:style w:type="paragraph" w:styleId="Ttulo10" w:customStyle="1">
    <w:name w:val="Título1"/>
    <w:basedOn w:val="Normal"/>
    <w:next w:val="Corpodetexto"/>
    <w:rsid w:val="00427981"/>
    <w:pPr>
      <w:keepNext w:val="1"/>
      <w:spacing w:after="120" w:before="240"/>
    </w:pPr>
    <w:rPr>
      <w:rFonts w:ascii="Arial" w:cs="Tahoma" w:hAnsi="Arial"/>
      <w:sz w:val="28"/>
      <w:szCs w:val="28"/>
    </w:rPr>
  </w:style>
  <w:style w:type="paragraph" w:styleId="Legenda2" w:customStyle="1">
    <w:name w:val="Legenda2"/>
    <w:basedOn w:val="Normal"/>
    <w:rsid w:val="00427981"/>
    <w:pPr>
      <w:suppressLineNumbers w:val="1"/>
      <w:spacing w:after="120" w:before="120"/>
    </w:pPr>
    <w:rPr>
      <w:rFonts w:cs="Tahoma"/>
      <w:i w:val="1"/>
      <w:iCs w:val="1"/>
    </w:rPr>
  </w:style>
  <w:style w:type="paragraph" w:styleId="Normal1" w:customStyle="1">
    <w:name w:val="Normal1"/>
    <w:basedOn w:val="Normal"/>
    <w:rsid w:val="00427981"/>
    <w:rPr>
      <w:b w:val="1"/>
      <w:i w:val="1"/>
      <w:sz w:val="32"/>
      <w:szCs w:val="20"/>
    </w:rPr>
  </w:style>
  <w:style w:type="paragraph" w:styleId="Legenda1" w:customStyle="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styleId="Contedodetabela" w:customStyle="1">
    <w:name w:val="Conteúdo de tabela"/>
    <w:basedOn w:val="Normal"/>
    <w:rsid w:val="00427981"/>
    <w:pPr>
      <w:suppressLineNumbers w:val="1"/>
    </w:pPr>
  </w:style>
  <w:style w:type="paragraph" w:styleId="Ttulodetabela" w:customStyle="1">
    <w:name w:val="Título de tabela"/>
    <w:basedOn w:val="Contedodetabela"/>
    <w:rsid w:val="00427981"/>
    <w:pPr>
      <w:jc w:val="center"/>
    </w:pPr>
    <w:rPr>
      <w:b w:val="1"/>
      <w:bCs w:val="1"/>
    </w:rPr>
  </w:style>
  <w:style w:type="paragraph" w:styleId="NormalWeb">
    <w:name w:val="Normal (Web)"/>
    <w:basedOn w:val="Normal"/>
    <w:uiPriority w:val="99"/>
    <w:unhideWhenUsed w:val="1"/>
    <w:rsid w:val="00A07AC0"/>
    <w:pPr>
      <w:widowControl w:val="1"/>
      <w:suppressAutoHyphens w:val="0"/>
      <w:spacing w:after="100" w:afterAutospacing="1" w:before="100" w:beforeAutospacing="1"/>
    </w:pPr>
    <w:rPr>
      <w:rFonts w:eastAsia="Times New Roman"/>
      <w:kern w:val="0"/>
      <w:lang w:eastAsia="pt-BR"/>
    </w:rPr>
  </w:style>
  <w:style w:type="character" w:styleId="Hyperlink">
    <w:name w:val="Hyperlink"/>
    <w:uiPriority w:val="99"/>
    <w:unhideWhenUsed w:val="1"/>
    <w:rsid w:val="00A07AC0"/>
    <w:rPr>
      <w:color w:val="0000ff"/>
      <w:u w:val="single"/>
    </w:rPr>
  </w:style>
  <w:style w:type="character" w:styleId="apple-converted-space" w:customStyle="1">
    <w:name w:val="apple-converted-space"/>
    <w:basedOn w:val="Fontepargpadro"/>
    <w:rsid w:val="00A07AC0"/>
  </w:style>
  <w:style w:type="table" w:styleId="Tabelacomgrade">
    <w:name w:val="Table Grid"/>
    <w:basedOn w:val="Tabelanormal"/>
    <w:rsid w:val="001A453A"/>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rsid w:val="007E511B"/>
    <w:rPr>
      <w:rFonts w:ascii="Tahoma" w:cs="Tahoma" w:hAnsi="Tahoma"/>
      <w:sz w:val="16"/>
      <w:szCs w:val="16"/>
    </w:rPr>
  </w:style>
  <w:style w:type="character" w:styleId="TextodebaloChar" w:customStyle="1">
    <w:name w:val="Texto de balão Char"/>
    <w:basedOn w:val="Fontepargpadro"/>
    <w:link w:val="Textodebalo"/>
    <w:rsid w:val="007E511B"/>
    <w:rPr>
      <w:rFonts w:ascii="Tahoma" w:cs="Tahoma" w:eastAsia="Lucida Sans Unicode" w:hAnsi="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styleId="RodapChar" w:customStyle="1">
    <w:name w:val="Rodapé Char"/>
    <w:basedOn w:val="Fontepargpadro"/>
    <w:link w:val="Rodap"/>
    <w:rsid w:val="00FD1FF5"/>
    <w:rPr>
      <w:rFonts w:eastAsia="Lucida Sans Unicode"/>
      <w:kern w:val="1"/>
      <w:sz w:val="24"/>
      <w:szCs w:val="24"/>
      <w:lang w:eastAsia="ar-SA"/>
    </w:rPr>
  </w:style>
  <w:style w:type="character" w:styleId="date" w:customStyle="1">
    <w:name w:val="date"/>
    <w:basedOn w:val="Fontepargpadro"/>
    <w:rsid w:val="00C046F9"/>
  </w:style>
  <w:style w:type="character" w:styleId="meta-reading-time" w:customStyle="1">
    <w:name w:val="meta-reading-time"/>
    <w:basedOn w:val="Fontepargpadro"/>
    <w:rsid w:val="00C046F9"/>
  </w:style>
  <w:style w:type="paragraph" w:styleId="PargrafodaLista">
    <w:name w:val="List Paragraph"/>
    <w:basedOn w:val="Normal"/>
    <w:uiPriority w:val="34"/>
    <w:qFormat w:val="1"/>
    <w:rsid w:val="00607B5F"/>
    <w:pPr>
      <w:ind w:left="720"/>
      <w:contextualSpacing w:val="1"/>
    </w:pPr>
  </w:style>
  <w:style w:type="character" w:styleId="Forte">
    <w:name w:val="Strong"/>
    <w:basedOn w:val="Fontepargpadro"/>
    <w:uiPriority w:val="22"/>
    <w:qFormat w:val="1"/>
    <w:rsid w:val="00315322"/>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zCfnTEuCaFEqtEsi6+8dljX3aw==">CgMxLjA4AHIhMUx0NHVrNDQ2VUZEOVFJY1RYX25wSVptTXQyWDRKbUEz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2024-02-23T18:40:00Z</dcterms:created>
  <dc:creator>Bruno Lessa</dc:creator>
</cp:coreProperties>
</file>