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6D2" w:rsidRDefault="006176D2" w:rsidP="00784603">
      <w:pPr>
        <w:spacing w:line="360" w:lineRule="auto"/>
        <w:jc w:val="center"/>
        <w:rPr>
          <w:rFonts w:ascii="Tahoma" w:hAnsi="Tahoma" w:cs="Tahoma"/>
          <w:b/>
          <w:bCs/>
          <w:sz w:val="22"/>
          <w:szCs w:val="22"/>
        </w:rPr>
      </w:pPr>
    </w:p>
    <w:p w:rsidR="0091653A" w:rsidRPr="00784603" w:rsidRDefault="0091653A" w:rsidP="00784603">
      <w:pPr>
        <w:spacing w:line="360" w:lineRule="auto"/>
        <w:jc w:val="center"/>
        <w:rPr>
          <w:rFonts w:ascii="Tahoma" w:hAnsi="Tahoma" w:cs="Tahoma"/>
          <w:b/>
          <w:bCs/>
          <w:sz w:val="22"/>
          <w:szCs w:val="22"/>
        </w:rPr>
      </w:pPr>
      <w:r w:rsidRPr="00784603">
        <w:rPr>
          <w:rFonts w:ascii="Tahoma" w:hAnsi="Tahoma" w:cs="Tahoma"/>
          <w:b/>
          <w:bCs/>
          <w:sz w:val="22"/>
          <w:szCs w:val="22"/>
        </w:rPr>
        <w:t xml:space="preserve">EMENDA </w:t>
      </w:r>
      <w:r w:rsidR="00263CAB">
        <w:rPr>
          <w:rFonts w:ascii="Tahoma" w:hAnsi="Tahoma" w:cs="Tahoma"/>
          <w:b/>
          <w:bCs/>
          <w:sz w:val="22"/>
          <w:szCs w:val="22"/>
        </w:rPr>
        <w:t>ADITIVA</w:t>
      </w:r>
      <w:r w:rsidR="004F502A">
        <w:rPr>
          <w:rFonts w:ascii="Tahoma" w:hAnsi="Tahoma" w:cs="Tahoma"/>
          <w:b/>
          <w:bCs/>
          <w:sz w:val="22"/>
          <w:szCs w:val="22"/>
        </w:rPr>
        <w:t xml:space="preserve"> Nº        /202</w:t>
      </w:r>
      <w:r w:rsidR="00183C2C">
        <w:rPr>
          <w:rFonts w:ascii="Tahoma" w:hAnsi="Tahoma" w:cs="Tahoma"/>
          <w:b/>
          <w:bCs/>
          <w:sz w:val="22"/>
          <w:szCs w:val="22"/>
        </w:rPr>
        <w:t>4</w:t>
      </w:r>
    </w:p>
    <w:p w:rsidR="00D334F6" w:rsidRPr="00784603" w:rsidRDefault="00D334F6" w:rsidP="00784603">
      <w:pPr>
        <w:spacing w:line="360" w:lineRule="auto"/>
        <w:jc w:val="center"/>
        <w:rPr>
          <w:rFonts w:ascii="Tahoma" w:hAnsi="Tahoma" w:cs="Tahoma"/>
          <w:sz w:val="22"/>
          <w:szCs w:val="22"/>
        </w:rPr>
      </w:pPr>
      <w:proofErr w:type="gramStart"/>
      <w:r w:rsidRPr="00784603">
        <w:rPr>
          <w:rFonts w:ascii="Tahoma" w:hAnsi="Tahoma" w:cs="Tahoma"/>
          <w:sz w:val="22"/>
          <w:szCs w:val="22"/>
        </w:rPr>
        <w:t>ao</w:t>
      </w:r>
      <w:proofErr w:type="gramEnd"/>
    </w:p>
    <w:p w:rsidR="00D334F6" w:rsidRPr="00784603" w:rsidRDefault="00A8467F" w:rsidP="00784603">
      <w:pPr>
        <w:spacing w:line="360" w:lineRule="auto"/>
        <w:jc w:val="center"/>
        <w:rPr>
          <w:rFonts w:ascii="Tahoma" w:hAnsi="Tahoma" w:cs="Tahoma"/>
          <w:sz w:val="22"/>
          <w:szCs w:val="22"/>
        </w:rPr>
      </w:pPr>
      <w:r w:rsidRPr="00784603">
        <w:rPr>
          <w:rFonts w:ascii="Tahoma" w:hAnsi="Tahoma" w:cs="Tahoma"/>
          <w:sz w:val="22"/>
          <w:szCs w:val="22"/>
        </w:rPr>
        <w:t>Projeto de Lei n</w:t>
      </w:r>
      <w:r w:rsidR="00D334F6" w:rsidRPr="00784603">
        <w:rPr>
          <w:rFonts w:ascii="Tahoma" w:hAnsi="Tahoma" w:cs="Tahoma"/>
          <w:sz w:val="22"/>
          <w:szCs w:val="22"/>
        </w:rPr>
        <w:t xml:space="preserve">º. </w:t>
      </w:r>
      <w:r w:rsidR="004F502A">
        <w:rPr>
          <w:rFonts w:ascii="Tahoma" w:hAnsi="Tahoma" w:cs="Tahoma"/>
          <w:sz w:val="22"/>
          <w:szCs w:val="22"/>
        </w:rPr>
        <w:t>221/2023</w:t>
      </w:r>
    </w:p>
    <w:p w:rsidR="001D177D" w:rsidRDefault="001D177D" w:rsidP="00784603">
      <w:pPr>
        <w:spacing w:line="360" w:lineRule="auto"/>
        <w:ind w:left="4395"/>
        <w:jc w:val="both"/>
        <w:rPr>
          <w:rFonts w:ascii="Tahoma" w:hAnsi="Tahoma" w:cs="Tahoma"/>
          <w:b/>
          <w:sz w:val="22"/>
          <w:szCs w:val="22"/>
        </w:rPr>
      </w:pPr>
    </w:p>
    <w:p w:rsidR="0091653A" w:rsidRPr="00784603" w:rsidRDefault="00263CAB" w:rsidP="00784603">
      <w:pPr>
        <w:spacing w:line="360" w:lineRule="auto"/>
        <w:ind w:left="4395"/>
        <w:jc w:val="both"/>
        <w:rPr>
          <w:rFonts w:ascii="Tahoma" w:hAnsi="Tahoma" w:cs="Tahoma"/>
          <w:b/>
          <w:bCs/>
          <w:sz w:val="22"/>
          <w:szCs w:val="22"/>
        </w:rPr>
      </w:pPr>
      <w:r>
        <w:rPr>
          <w:rFonts w:ascii="Tahoma" w:hAnsi="Tahoma" w:cs="Tahoma"/>
          <w:b/>
          <w:sz w:val="22"/>
          <w:szCs w:val="22"/>
        </w:rPr>
        <w:t>Adiciona o Art. 22</w:t>
      </w:r>
      <w:r w:rsidR="004213F2">
        <w:rPr>
          <w:rFonts w:ascii="Tahoma" w:hAnsi="Tahoma" w:cs="Tahoma"/>
          <w:b/>
          <w:sz w:val="22"/>
          <w:szCs w:val="22"/>
        </w:rPr>
        <w:t>8</w:t>
      </w:r>
      <w:r>
        <w:rPr>
          <w:rFonts w:ascii="Tahoma" w:hAnsi="Tahoma" w:cs="Tahoma"/>
          <w:b/>
          <w:sz w:val="22"/>
          <w:szCs w:val="22"/>
        </w:rPr>
        <w:t xml:space="preserve"> A, ao</w:t>
      </w:r>
      <w:r w:rsidR="0091653A" w:rsidRPr="00784603">
        <w:rPr>
          <w:rFonts w:ascii="Tahoma" w:hAnsi="Tahoma" w:cs="Tahoma"/>
          <w:b/>
          <w:sz w:val="22"/>
          <w:szCs w:val="22"/>
        </w:rPr>
        <w:t xml:space="preserve"> Projeto de Lei Nº. </w:t>
      </w:r>
      <w:r w:rsidR="004F502A">
        <w:rPr>
          <w:rFonts w:ascii="Tahoma" w:hAnsi="Tahoma" w:cs="Tahoma"/>
          <w:b/>
          <w:sz w:val="22"/>
          <w:szCs w:val="22"/>
        </w:rPr>
        <w:t>221/2023</w:t>
      </w:r>
      <w:r>
        <w:rPr>
          <w:rFonts w:ascii="Tahoma" w:hAnsi="Tahoma" w:cs="Tahoma"/>
          <w:b/>
          <w:sz w:val="22"/>
          <w:szCs w:val="22"/>
        </w:rPr>
        <w:t>, renumerando-se os artigos subsequentes</w:t>
      </w:r>
      <w:r w:rsidR="008C0A65" w:rsidRPr="00784603">
        <w:rPr>
          <w:rFonts w:ascii="Tahoma" w:hAnsi="Tahoma" w:cs="Tahoma"/>
          <w:b/>
          <w:sz w:val="22"/>
          <w:szCs w:val="22"/>
        </w:rPr>
        <w:t>.</w:t>
      </w:r>
    </w:p>
    <w:p w:rsidR="0091653A" w:rsidRPr="00784603" w:rsidRDefault="0091653A" w:rsidP="00784603">
      <w:pPr>
        <w:spacing w:line="360" w:lineRule="auto"/>
        <w:jc w:val="both"/>
        <w:rPr>
          <w:rFonts w:ascii="Tahoma" w:hAnsi="Tahoma" w:cs="Tahoma"/>
          <w:sz w:val="22"/>
          <w:szCs w:val="22"/>
        </w:rPr>
      </w:pPr>
    </w:p>
    <w:p w:rsidR="00C206E1" w:rsidRPr="00784603" w:rsidRDefault="00C206E1" w:rsidP="00784603">
      <w:pPr>
        <w:spacing w:line="360" w:lineRule="auto"/>
        <w:jc w:val="both"/>
        <w:rPr>
          <w:rFonts w:ascii="Tahoma" w:hAnsi="Tahoma" w:cs="Tahoma"/>
          <w:sz w:val="22"/>
          <w:szCs w:val="22"/>
        </w:rPr>
      </w:pPr>
    </w:p>
    <w:p w:rsidR="00263CAB" w:rsidRDefault="0091653A" w:rsidP="00784603">
      <w:pPr>
        <w:spacing w:line="360" w:lineRule="auto"/>
        <w:jc w:val="both"/>
        <w:rPr>
          <w:rFonts w:ascii="Tahoma" w:hAnsi="Tahoma" w:cs="Tahoma"/>
          <w:sz w:val="22"/>
          <w:szCs w:val="22"/>
        </w:rPr>
      </w:pPr>
      <w:r w:rsidRPr="00784603">
        <w:rPr>
          <w:rFonts w:ascii="Tahoma" w:hAnsi="Tahoma" w:cs="Tahoma"/>
          <w:b/>
          <w:sz w:val="22"/>
          <w:szCs w:val="22"/>
        </w:rPr>
        <w:t>Art. 1º</w:t>
      </w:r>
      <w:r w:rsidRPr="00784603">
        <w:rPr>
          <w:rFonts w:ascii="Tahoma" w:hAnsi="Tahoma" w:cs="Tahoma"/>
          <w:sz w:val="22"/>
          <w:szCs w:val="22"/>
        </w:rPr>
        <w:t xml:space="preserve"> - </w:t>
      </w:r>
      <w:r w:rsidR="00263CAB">
        <w:rPr>
          <w:rFonts w:ascii="Tahoma" w:hAnsi="Tahoma" w:cs="Tahoma"/>
          <w:sz w:val="22"/>
          <w:szCs w:val="22"/>
        </w:rPr>
        <w:t>Adiciona o Art. 22</w:t>
      </w:r>
      <w:r w:rsidR="004213F2">
        <w:rPr>
          <w:rFonts w:ascii="Tahoma" w:hAnsi="Tahoma" w:cs="Tahoma"/>
          <w:sz w:val="22"/>
          <w:szCs w:val="22"/>
        </w:rPr>
        <w:t>8</w:t>
      </w:r>
      <w:r w:rsidR="00263CAB">
        <w:rPr>
          <w:rFonts w:ascii="Tahoma" w:hAnsi="Tahoma" w:cs="Tahoma"/>
          <w:sz w:val="22"/>
          <w:szCs w:val="22"/>
        </w:rPr>
        <w:t xml:space="preserve"> A, ao Projeto de Lei nº 221/2023, que passa a ter a seguinte redação:</w:t>
      </w:r>
    </w:p>
    <w:p w:rsidR="001D177D" w:rsidRDefault="001D177D" w:rsidP="00784603">
      <w:pPr>
        <w:spacing w:line="360" w:lineRule="auto"/>
        <w:jc w:val="both"/>
        <w:rPr>
          <w:rFonts w:ascii="Tahoma" w:hAnsi="Tahoma" w:cs="Tahoma"/>
          <w:sz w:val="22"/>
          <w:szCs w:val="22"/>
        </w:rPr>
      </w:pPr>
    </w:p>
    <w:p w:rsidR="00EB4086" w:rsidRDefault="00263CAB" w:rsidP="004213F2">
      <w:pPr>
        <w:spacing w:line="360" w:lineRule="auto"/>
        <w:ind w:left="2268"/>
        <w:jc w:val="both"/>
        <w:rPr>
          <w:rFonts w:ascii="Tahoma" w:hAnsi="Tahoma" w:cs="Tahoma"/>
          <w:sz w:val="22"/>
          <w:szCs w:val="22"/>
        </w:rPr>
      </w:pPr>
      <w:r>
        <w:rPr>
          <w:rFonts w:ascii="Tahoma" w:hAnsi="Tahoma" w:cs="Tahoma"/>
          <w:sz w:val="22"/>
          <w:szCs w:val="22"/>
        </w:rPr>
        <w:t>“</w:t>
      </w:r>
      <w:r w:rsidR="00F90DC3">
        <w:rPr>
          <w:rFonts w:ascii="Tahoma" w:hAnsi="Tahoma" w:cs="Tahoma"/>
          <w:b/>
          <w:sz w:val="22"/>
          <w:szCs w:val="22"/>
        </w:rPr>
        <w:t>Art. 228</w:t>
      </w:r>
      <w:r w:rsidRPr="001D177D">
        <w:rPr>
          <w:rFonts w:ascii="Tahoma" w:hAnsi="Tahoma" w:cs="Tahoma"/>
          <w:b/>
          <w:sz w:val="22"/>
          <w:szCs w:val="22"/>
        </w:rPr>
        <w:t xml:space="preserve"> A -</w:t>
      </w:r>
      <w:r>
        <w:rPr>
          <w:rFonts w:ascii="Tahoma" w:hAnsi="Tahoma" w:cs="Tahoma"/>
          <w:sz w:val="22"/>
          <w:szCs w:val="22"/>
        </w:rPr>
        <w:t xml:space="preserve"> </w:t>
      </w:r>
      <w:r w:rsidR="007F02D7" w:rsidRPr="00784603">
        <w:rPr>
          <w:rFonts w:ascii="Tahoma" w:hAnsi="Tahoma" w:cs="Tahoma"/>
          <w:sz w:val="22"/>
          <w:szCs w:val="22"/>
        </w:rPr>
        <w:t>Fica</w:t>
      </w:r>
      <w:r>
        <w:rPr>
          <w:rFonts w:ascii="Tahoma" w:hAnsi="Tahoma" w:cs="Tahoma"/>
          <w:sz w:val="22"/>
          <w:szCs w:val="22"/>
        </w:rPr>
        <w:t>m</w:t>
      </w:r>
      <w:r w:rsidR="007F02D7" w:rsidRPr="00784603">
        <w:rPr>
          <w:rFonts w:ascii="Tahoma" w:hAnsi="Tahoma" w:cs="Tahoma"/>
          <w:sz w:val="22"/>
          <w:szCs w:val="22"/>
        </w:rPr>
        <w:t xml:space="preserve"> alterado</w:t>
      </w:r>
      <w:r>
        <w:rPr>
          <w:rFonts w:ascii="Tahoma" w:hAnsi="Tahoma" w:cs="Tahoma"/>
          <w:sz w:val="22"/>
          <w:szCs w:val="22"/>
        </w:rPr>
        <w:t>s</w:t>
      </w:r>
      <w:r w:rsidR="007F02D7" w:rsidRPr="00784603">
        <w:rPr>
          <w:rFonts w:ascii="Tahoma" w:hAnsi="Tahoma" w:cs="Tahoma"/>
          <w:sz w:val="22"/>
          <w:szCs w:val="22"/>
        </w:rPr>
        <w:t xml:space="preserve"> o</w:t>
      </w:r>
      <w:r>
        <w:rPr>
          <w:rFonts w:ascii="Tahoma" w:hAnsi="Tahoma" w:cs="Tahoma"/>
          <w:sz w:val="22"/>
          <w:szCs w:val="22"/>
        </w:rPr>
        <w:t>s</w:t>
      </w:r>
      <w:r w:rsidR="007F02D7" w:rsidRPr="00784603">
        <w:rPr>
          <w:rFonts w:ascii="Tahoma" w:hAnsi="Tahoma" w:cs="Tahoma"/>
          <w:sz w:val="22"/>
          <w:szCs w:val="22"/>
        </w:rPr>
        <w:t xml:space="preserve"> </w:t>
      </w:r>
      <w:r w:rsidR="002406EB" w:rsidRPr="00784603">
        <w:rPr>
          <w:rFonts w:ascii="Tahoma" w:hAnsi="Tahoma" w:cs="Tahoma"/>
          <w:sz w:val="22"/>
          <w:szCs w:val="22"/>
        </w:rPr>
        <w:t>Mapa</w:t>
      </w:r>
      <w:r>
        <w:rPr>
          <w:rFonts w:ascii="Tahoma" w:hAnsi="Tahoma" w:cs="Tahoma"/>
          <w:sz w:val="22"/>
          <w:szCs w:val="22"/>
        </w:rPr>
        <w:t>s</w:t>
      </w:r>
      <w:r w:rsidR="002406EB" w:rsidRPr="00784603">
        <w:rPr>
          <w:rFonts w:ascii="Tahoma" w:hAnsi="Tahoma" w:cs="Tahoma"/>
          <w:sz w:val="22"/>
          <w:szCs w:val="22"/>
        </w:rPr>
        <w:t xml:space="preserve"> 0</w:t>
      </w:r>
      <w:r>
        <w:rPr>
          <w:rFonts w:ascii="Tahoma" w:hAnsi="Tahoma" w:cs="Tahoma"/>
          <w:sz w:val="22"/>
          <w:szCs w:val="22"/>
        </w:rPr>
        <w:t>2 (</w:t>
      </w:r>
      <w:proofErr w:type="spellStart"/>
      <w:r>
        <w:rPr>
          <w:rFonts w:ascii="Tahoma" w:hAnsi="Tahoma" w:cs="Tahoma"/>
          <w:sz w:val="22"/>
          <w:szCs w:val="22"/>
        </w:rPr>
        <w:t>Macrozonas</w:t>
      </w:r>
      <w:proofErr w:type="spellEnd"/>
      <w:r>
        <w:rPr>
          <w:rFonts w:ascii="Tahoma" w:hAnsi="Tahoma" w:cs="Tahoma"/>
          <w:sz w:val="22"/>
          <w:szCs w:val="22"/>
        </w:rPr>
        <w:t>), 03 (</w:t>
      </w:r>
      <w:proofErr w:type="spellStart"/>
      <w:r>
        <w:rPr>
          <w:rFonts w:ascii="Tahoma" w:hAnsi="Tahoma" w:cs="Tahoma"/>
          <w:sz w:val="22"/>
          <w:szCs w:val="22"/>
        </w:rPr>
        <w:t>Macroárea</w:t>
      </w:r>
      <w:proofErr w:type="spellEnd"/>
      <w:r>
        <w:rPr>
          <w:rFonts w:ascii="Tahoma" w:hAnsi="Tahoma" w:cs="Tahoma"/>
          <w:sz w:val="22"/>
          <w:szCs w:val="22"/>
        </w:rPr>
        <w:t>), 05 (</w:t>
      </w:r>
      <w:r w:rsidRPr="00263CAB">
        <w:rPr>
          <w:rFonts w:ascii="Tahoma" w:hAnsi="Tahoma" w:cs="Tahoma"/>
          <w:sz w:val="22"/>
          <w:szCs w:val="22"/>
        </w:rPr>
        <w:t>Rede</w:t>
      </w:r>
      <w:r>
        <w:rPr>
          <w:rFonts w:ascii="Tahoma" w:hAnsi="Tahoma" w:cs="Tahoma"/>
          <w:sz w:val="22"/>
          <w:szCs w:val="22"/>
        </w:rPr>
        <w:t xml:space="preserve"> </w:t>
      </w:r>
      <w:r w:rsidRPr="00263CAB">
        <w:rPr>
          <w:rFonts w:ascii="Tahoma" w:hAnsi="Tahoma" w:cs="Tahoma"/>
          <w:sz w:val="22"/>
          <w:szCs w:val="22"/>
        </w:rPr>
        <w:t>Territorial</w:t>
      </w:r>
      <w:r>
        <w:rPr>
          <w:rFonts w:ascii="Tahoma" w:hAnsi="Tahoma" w:cs="Tahoma"/>
          <w:sz w:val="22"/>
          <w:szCs w:val="22"/>
        </w:rPr>
        <w:t xml:space="preserve"> </w:t>
      </w:r>
      <w:r w:rsidRPr="00263CAB">
        <w:rPr>
          <w:rFonts w:ascii="Tahoma" w:hAnsi="Tahoma" w:cs="Tahoma"/>
          <w:sz w:val="22"/>
          <w:szCs w:val="22"/>
        </w:rPr>
        <w:t>Ambiental</w:t>
      </w:r>
      <w:r>
        <w:rPr>
          <w:rFonts w:ascii="Tahoma" w:hAnsi="Tahoma" w:cs="Tahoma"/>
          <w:sz w:val="22"/>
          <w:szCs w:val="22"/>
        </w:rPr>
        <w:t xml:space="preserve"> e Sistema </w:t>
      </w:r>
      <w:r w:rsidR="001D177D">
        <w:rPr>
          <w:rFonts w:ascii="Tahoma" w:hAnsi="Tahoma" w:cs="Tahoma"/>
          <w:sz w:val="22"/>
          <w:szCs w:val="22"/>
        </w:rPr>
        <w:t xml:space="preserve">de Áreas Protegidas, Áreas Verdes e Espaços </w:t>
      </w:r>
      <w:r w:rsidRPr="00263CAB">
        <w:rPr>
          <w:rFonts w:ascii="Tahoma" w:hAnsi="Tahoma" w:cs="Tahoma"/>
          <w:sz w:val="22"/>
          <w:szCs w:val="22"/>
        </w:rPr>
        <w:t>Livres</w:t>
      </w:r>
      <w:r w:rsidR="001D177D">
        <w:rPr>
          <w:rFonts w:ascii="Tahoma" w:hAnsi="Tahoma" w:cs="Tahoma"/>
          <w:sz w:val="22"/>
          <w:szCs w:val="22"/>
        </w:rPr>
        <w:t xml:space="preserve">) e 10 (Perímetro </w:t>
      </w:r>
      <w:r w:rsidR="001D177D" w:rsidRPr="001D177D">
        <w:rPr>
          <w:rFonts w:ascii="Tahoma" w:hAnsi="Tahoma" w:cs="Tahoma"/>
          <w:sz w:val="22"/>
          <w:szCs w:val="22"/>
        </w:rPr>
        <w:t>de</w:t>
      </w:r>
      <w:r w:rsidR="001D177D">
        <w:rPr>
          <w:rFonts w:ascii="Tahoma" w:hAnsi="Tahoma" w:cs="Tahoma"/>
          <w:sz w:val="22"/>
          <w:szCs w:val="22"/>
        </w:rPr>
        <w:t xml:space="preserve"> </w:t>
      </w:r>
      <w:r w:rsidR="001D177D" w:rsidRPr="001D177D">
        <w:rPr>
          <w:rFonts w:ascii="Tahoma" w:hAnsi="Tahoma" w:cs="Tahoma"/>
          <w:sz w:val="22"/>
          <w:szCs w:val="22"/>
        </w:rPr>
        <w:t>incentivo</w:t>
      </w:r>
      <w:r w:rsidR="001D177D">
        <w:rPr>
          <w:rFonts w:ascii="Tahoma" w:hAnsi="Tahoma" w:cs="Tahoma"/>
          <w:sz w:val="22"/>
          <w:szCs w:val="22"/>
        </w:rPr>
        <w:t xml:space="preserve"> ao desenvolvimento econômico)</w:t>
      </w:r>
      <w:r w:rsidR="004F502A">
        <w:rPr>
          <w:rFonts w:ascii="Tahoma" w:hAnsi="Tahoma" w:cs="Tahoma"/>
          <w:sz w:val="22"/>
          <w:szCs w:val="22"/>
        </w:rPr>
        <w:t xml:space="preserve"> d</w:t>
      </w:r>
      <w:r w:rsidR="001D177D">
        <w:rPr>
          <w:rFonts w:ascii="Tahoma" w:hAnsi="Tahoma" w:cs="Tahoma"/>
          <w:sz w:val="22"/>
          <w:szCs w:val="22"/>
        </w:rPr>
        <w:t>o Plano Diretor de Niterói, Lei nº 3385/2019</w:t>
      </w:r>
      <w:r w:rsidR="004213F2">
        <w:rPr>
          <w:rFonts w:ascii="Tahoma" w:hAnsi="Tahoma" w:cs="Tahoma"/>
          <w:sz w:val="22"/>
          <w:szCs w:val="22"/>
        </w:rPr>
        <w:t>.</w:t>
      </w:r>
    </w:p>
    <w:p w:rsidR="001D177D" w:rsidRDefault="001D177D" w:rsidP="001D177D">
      <w:pPr>
        <w:spacing w:line="360" w:lineRule="auto"/>
        <w:jc w:val="both"/>
        <w:rPr>
          <w:rFonts w:ascii="Tahoma" w:hAnsi="Tahoma" w:cs="Tahoma"/>
          <w:sz w:val="22"/>
          <w:szCs w:val="22"/>
        </w:rPr>
      </w:pPr>
    </w:p>
    <w:p w:rsidR="002F4A23" w:rsidRDefault="002F4A23" w:rsidP="002F4A23">
      <w:pPr>
        <w:spacing w:line="360" w:lineRule="auto"/>
        <w:jc w:val="both"/>
        <w:rPr>
          <w:rFonts w:ascii="Tahoma" w:hAnsi="Tahoma" w:cs="Tahoma"/>
          <w:sz w:val="22"/>
          <w:szCs w:val="22"/>
        </w:rPr>
      </w:pPr>
      <w:r>
        <w:rPr>
          <w:rFonts w:ascii="Tahoma" w:hAnsi="Tahoma" w:cs="Tahoma"/>
          <w:b/>
          <w:sz w:val="22"/>
          <w:szCs w:val="22"/>
        </w:rPr>
        <w:t>Art. 2</w:t>
      </w:r>
      <w:r w:rsidRPr="00784603">
        <w:rPr>
          <w:rFonts w:ascii="Tahoma" w:hAnsi="Tahoma" w:cs="Tahoma"/>
          <w:b/>
          <w:sz w:val="22"/>
          <w:szCs w:val="22"/>
        </w:rPr>
        <w:t>º</w:t>
      </w:r>
      <w:r w:rsidRPr="00784603">
        <w:rPr>
          <w:rFonts w:ascii="Tahoma" w:hAnsi="Tahoma" w:cs="Tahoma"/>
          <w:sz w:val="22"/>
          <w:szCs w:val="22"/>
        </w:rPr>
        <w:t xml:space="preserve"> - </w:t>
      </w:r>
      <w:r>
        <w:rPr>
          <w:rFonts w:ascii="Tahoma" w:hAnsi="Tahoma" w:cs="Tahoma"/>
          <w:sz w:val="22"/>
          <w:szCs w:val="22"/>
        </w:rPr>
        <w:t xml:space="preserve">Renumerem-se os artigos subsequentes. </w:t>
      </w:r>
    </w:p>
    <w:p w:rsidR="00906B37" w:rsidRDefault="00906B37" w:rsidP="002F4A23">
      <w:pPr>
        <w:spacing w:line="360" w:lineRule="auto"/>
        <w:jc w:val="both"/>
        <w:rPr>
          <w:rFonts w:ascii="Tahoma" w:hAnsi="Tahoma" w:cs="Tahoma"/>
          <w:sz w:val="22"/>
          <w:szCs w:val="22"/>
        </w:rPr>
      </w:pPr>
    </w:p>
    <w:p w:rsidR="0091653A" w:rsidRDefault="004F502A" w:rsidP="004F502A">
      <w:pPr>
        <w:spacing w:line="360" w:lineRule="auto"/>
        <w:jc w:val="right"/>
        <w:rPr>
          <w:rFonts w:ascii="Tahoma" w:hAnsi="Tahoma" w:cs="Tahoma"/>
          <w:sz w:val="22"/>
          <w:szCs w:val="22"/>
        </w:rPr>
      </w:pPr>
      <w:r>
        <w:rPr>
          <w:rFonts w:ascii="Tahoma" w:hAnsi="Tahoma" w:cs="Tahoma"/>
          <w:sz w:val="22"/>
          <w:szCs w:val="22"/>
        </w:rPr>
        <w:t xml:space="preserve">Plenário </w:t>
      </w:r>
      <w:proofErr w:type="spellStart"/>
      <w:r>
        <w:rPr>
          <w:rFonts w:ascii="Tahoma" w:hAnsi="Tahoma" w:cs="Tahoma"/>
          <w:sz w:val="22"/>
          <w:szCs w:val="22"/>
        </w:rPr>
        <w:t>Brígido</w:t>
      </w:r>
      <w:proofErr w:type="spellEnd"/>
      <w:r>
        <w:rPr>
          <w:rFonts w:ascii="Tahoma" w:hAnsi="Tahoma" w:cs="Tahoma"/>
          <w:sz w:val="22"/>
          <w:szCs w:val="22"/>
        </w:rPr>
        <w:t xml:space="preserve"> Tinoco, </w:t>
      </w:r>
      <w:r w:rsidR="00906B37">
        <w:rPr>
          <w:rFonts w:ascii="Tahoma" w:hAnsi="Tahoma" w:cs="Tahoma"/>
          <w:sz w:val="22"/>
          <w:szCs w:val="22"/>
        </w:rPr>
        <w:t>23</w:t>
      </w:r>
      <w:r>
        <w:rPr>
          <w:rFonts w:ascii="Tahoma" w:hAnsi="Tahoma" w:cs="Tahoma"/>
          <w:sz w:val="22"/>
          <w:szCs w:val="22"/>
        </w:rPr>
        <w:t xml:space="preserve"> de </w:t>
      </w:r>
      <w:r w:rsidR="00906B37">
        <w:rPr>
          <w:rFonts w:ascii="Tahoma" w:hAnsi="Tahoma" w:cs="Tahoma"/>
          <w:sz w:val="22"/>
          <w:szCs w:val="22"/>
        </w:rPr>
        <w:t>fevereiro</w:t>
      </w:r>
      <w:r>
        <w:rPr>
          <w:rFonts w:ascii="Tahoma" w:hAnsi="Tahoma" w:cs="Tahoma"/>
          <w:sz w:val="22"/>
          <w:szCs w:val="22"/>
        </w:rPr>
        <w:t xml:space="preserve"> de 202</w:t>
      </w:r>
      <w:r w:rsidR="00906B37">
        <w:rPr>
          <w:rFonts w:ascii="Tahoma" w:hAnsi="Tahoma" w:cs="Tahoma"/>
          <w:sz w:val="22"/>
          <w:szCs w:val="22"/>
        </w:rPr>
        <w:t>4</w:t>
      </w:r>
      <w:r>
        <w:rPr>
          <w:rFonts w:ascii="Tahoma" w:hAnsi="Tahoma" w:cs="Tahoma"/>
          <w:sz w:val="22"/>
          <w:szCs w:val="22"/>
        </w:rPr>
        <w:t>.</w:t>
      </w:r>
    </w:p>
    <w:p w:rsidR="004F502A" w:rsidRDefault="004F502A" w:rsidP="004F502A">
      <w:pPr>
        <w:spacing w:line="360" w:lineRule="auto"/>
        <w:jc w:val="right"/>
        <w:rPr>
          <w:rFonts w:ascii="Tahoma" w:hAnsi="Tahoma" w:cs="Tahoma"/>
          <w:sz w:val="22"/>
          <w:szCs w:val="22"/>
        </w:rPr>
      </w:pPr>
    </w:p>
    <w:p w:rsidR="00183C2C" w:rsidRDefault="00F90DC3" w:rsidP="00183C2C">
      <w:pPr>
        <w:pStyle w:val="NormalWeb"/>
        <w:spacing w:before="0" w:beforeAutospacing="0" w:after="0" w:afterAutospacing="0"/>
        <w:jc w:val="center"/>
        <w:rPr>
          <w:color w:val="000000"/>
          <w:sz w:val="27"/>
          <w:szCs w:val="27"/>
        </w:rPr>
      </w:pPr>
      <w:r>
        <w:rPr>
          <w:color w:val="000000"/>
          <w:sz w:val="27"/>
          <w:szCs w:val="27"/>
        </w:rPr>
        <w:t xml:space="preserve">Roberto Jales – Beto da Pipa </w:t>
      </w:r>
      <w:bookmarkStart w:id="0" w:name="_GoBack"/>
      <w:bookmarkEnd w:id="0"/>
    </w:p>
    <w:p w:rsidR="00183C2C" w:rsidRDefault="00183C2C" w:rsidP="00183C2C">
      <w:pPr>
        <w:pStyle w:val="NormalWeb"/>
        <w:spacing w:before="0" w:beforeAutospacing="0" w:after="0" w:afterAutospacing="0"/>
        <w:jc w:val="center"/>
        <w:rPr>
          <w:color w:val="000000"/>
          <w:sz w:val="27"/>
          <w:szCs w:val="27"/>
        </w:rPr>
      </w:pPr>
      <w:r>
        <w:rPr>
          <w:color w:val="000000"/>
          <w:sz w:val="27"/>
          <w:szCs w:val="27"/>
        </w:rPr>
        <w:t>Presidente</w:t>
      </w:r>
    </w:p>
    <w:p w:rsidR="00183C2C" w:rsidRDefault="00183C2C" w:rsidP="00183C2C">
      <w:pPr>
        <w:pStyle w:val="NormalWeb"/>
        <w:spacing w:before="0" w:beforeAutospacing="0" w:after="0" w:afterAutospacing="0"/>
        <w:jc w:val="center"/>
        <w:rPr>
          <w:color w:val="000000"/>
          <w:sz w:val="27"/>
          <w:szCs w:val="27"/>
        </w:rPr>
      </w:pPr>
    </w:p>
    <w:p w:rsidR="00183C2C" w:rsidRDefault="00183C2C" w:rsidP="00183C2C">
      <w:pPr>
        <w:pStyle w:val="NormalWeb"/>
        <w:spacing w:before="0" w:beforeAutospacing="0" w:after="0" w:afterAutospacing="0"/>
        <w:jc w:val="right"/>
        <w:rPr>
          <w:color w:val="000000"/>
          <w:sz w:val="27"/>
          <w:szCs w:val="27"/>
        </w:rPr>
      </w:pPr>
      <w:r>
        <w:rPr>
          <w:color w:val="000000"/>
          <w:sz w:val="27"/>
          <w:szCs w:val="27"/>
        </w:rPr>
        <w:t xml:space="preserve">Leandro Portugal </w:t>
      </w:r>
      <w:r>
        <w:rPr>
          <w:color w:val="000000"/>
          <w:sz w:val="27"/>
          <w:szCs w:val="27"/>
        </w:rPr>
        <w:tab/>
      </w:r>
      <w:r>
        <w:rPr>
          <w:color w:val="000000"/>
          <w:sz w:val="27"/>
          <w:szCs w:val="27"/>
        </w:rPr>
        <w:tab/>
      </w:r>
      <w:r>
        <w:rPr>
          <w:color w:val="000000"/>
          <w:sz w:val="27"/>
          <w:szCs w:val="27"/>
        </w:rPr>
        <w:tab/>
      </w:r>
      <w:r>
        <w:rPr>
          <w:color w:val="000000"/>
          <w:sz w:val="27"/>
          <w:szCs w:val="27"/>
        </w:rPr>
        <w:tab/>
        <w:t xml:space="preserve">Jorge </w:t>
      </w:r>
      <w:proofErr w:type="spellStart"/>
      <w:r>
        <w:rPr>
          <w:color w:val="000000"/>
          <w:sz w:val="27"/>
          <w:szCs w:val="27"/>
        </w:rPr>
        <w:t>Andrigo</w:t>
      </w:r>
      <w:proofErr w:type="spellEnd"/>
      <w:r>
        <w:rPr>
          <w:color w:val="000000"/>
          <w:sz w:val="27"/>
          <w:szCs w:val="27"/>
        </w:rPr>
        <w:t xml:space="preserve"> Dias de Carvalho</w:t>
      </w:r>
    </w:p>
    <w:p w:rsidR="00183C2C" w:rsidRDefault="00183C2C" w:rsidP="00183C2C">
      <w:pPr>
        <w:pStyle w:val="NormalWeb"/>
        <w:spacing w:before="0" w:beforeAutospacing="0" w:after="0" w:afterAutospacing="0"/>
        <w:jc w:val="center"/>
        <w:rPr>
          <w:color w:val="000000"/>
          <w:sz w:val="27"/>
          <w:szCs w:val="27"/>
        </w:rPr>
      </w:pPr>
      <w:r>
        <w:rPr>
          <w:color w:val="000000"/>
          <w:sz w:val="27"/>
          <w:szCs w:val="27"/>
        </w:rPr>
        <w:t xml:space="preserve">Membro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Vice-Presidente</w:t>
      </w:r>
    </w:p>
    <w:p w:rsidR="00183C2C" w:rsidRDefault="00183C2C" w:rsidP="00183C2C">
      <w:pPr>
        <w:pStyle w:val="NormalWeb"/>
        <w:jc w:val="center"/>
        <w:rPr>
          <w:color w:val="000000"/>
          <w:sz w:val="27"/>
          <w:szCs w:val="27"/>
        </w:rPr>
      </w:pPr>
    </w:p>
    <w:p w:rsidR="00183C2C" w:rsidRDefault="00183C2C" w:rsidP="00183C2C">
      <w:pPr>
        <w:pStyle w:val="NormalWeb"/>
        <w:spacing w:before="0" w:beforeAutospacing="0" w:after="0" w:afterAutospacing="0"/>
        <w:jc w:val="center"/>
        <w:rPr>
          <w:color w:val="000000"/>
          <w:sz w:val="27"/>
          <w:szCs w:val="27"/>
        </w:rPr>
      </w:pPr>
      <w:r>
        <w:rPr>
          <w:color w:val="000000"/>
          <w:sz w:val="27"/>
          <w:szCs w:val="27"/>
        </w:rPr>
        <w:lastRenderedPageBreak/>
        <w:t xml:space="preserve">Tulio Rabelo de Albuquerque Mota </w:t>
      </w:r>
      <w:r>
        <w:rPr>
          <w:color w:val="000000"/>
          <w:sz w:val="27"/>
          <w:szCs w:val="27"/>
        </w:rPr>
        <w:tab/>
        <w:t xml:space="preserve">        Anderson José Rodrigues - </w:t>
      </w:r>
      <w:proofErr w:type="spellStart"/>
      <w:r>
        <w:rPr>
          <w:color w:val="000000"/>
          <w:sz w:val="27"/>
          <w:szCs w:val="27"/>
        </w:rPr>
        <w:t>Pipico</w:t>
      </w:r>
      <w:proofErr w:type="spellEnd"/>
    </w:p>
    <w:p w:rsidR="004F502A" w:rsidRDefault="00183C2C" w:rsidP="00183C2C">
      <w:pPr>
        <w:spacing w:line="360" w:lineRule="auto"/>
        <w:ind w:left="708" w:firstLine="708"/>
        <w:rPr>
          <w:rFonts w:ascii="Tahoma" w:eastAsia="Arial Unicode MS" w:hAnsi="Tahoma" w:cs="Tahoma"/>
          <w:b/>
          <w:bCs/>
          <w:sz w:val="22"/>
          <w:szCs w:val="22"/>
        </w:rPr>
      </w:pPr>
      <w:r>
        <w:rPr>
          <w:color w:val="000000"/>
          <w:sz w:val="27"/>
          <w:szCs w:val="27"/>
        </w:rPr>
        <w:t xml:space="preserve">Membro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proofErr w:type="spellStart"/>
      <w:r>
        <w:rPr>
          <w:color w:val="000000"/>
          <w:sz w:val="27"/>
          <w:szCs w:val="27"/>
        </w:rPr>
        <w:t>Membro</w:t>
      </w:r>
      <w:proofErr w:type="spellEnd"/>
    </w:p>
    <w:p w:rsidR="00906B37" w:rsidRDefault="00906B37" w:rsidP="00784603">
      <w:pPr>
        <w:spacing w:line="360" w:lineRule="auto"/>
        <w:rPr>
          <w:rFonts w:ascii="Tahoma" w:eastAsia="Arial Unicode MS" w:hAnsi="Tahoma" w:cs="Tahoma"/>
          <w:b/>
          <w:bCs/>
          <w:sz w:val="22"/>
          <w:szCs w:val="22"/>
        </w:rPr>
      </w:pPr>
    </w:p>
    <w:p w:rsidR="00906B37" w:rsidRDefault="00906B37" w:rsidP="00784603">
      <w:pPr>
        <w:spacing w:line="360" w:lineRule="auto"/>
        <w:rPr>
          <w:rFonts w:ascii="Tahoma" w:eastAsia="Arial Unicode MS" w:hAnsi="Tahoma" w:cs="Tahoma"/>
          <w:b/>
          <w:bCs/>
          <w:sz w:val="22"/>
          <w:szCs w:val="22"/>
        </w:rPr>
      </w:pPr>
    </w:p>
    <w:p w:rsidR="000B24B0" w:rsidRPr="00784603" w:rsidRDefault="000B24B0" w:rsidP="00784603">
      <w:pPr>
        <w:spacing w:line="360" w:lineRule="auto"/>
        <w:rPr>
          <w:rFonts w:ascii="Tahoma" w:eastAsia="Arial Unicode MS" w:hAnsi="Tahoma" w:cs="Tahoma"/>
          <w:b/>
          <w:bCs/>
          <w:sz w:val="22"/>
          <w:szCs w:val="22"/>
        </w:rPr>
      </w:pPr>
      <w:r w:rsidRPr="00784603">
        <w:rPr>
          <w:rFonts w:ascii="Tahoma" w:eastAsia="Arial Unicode MS" w:hAnsi="Tahoma" w:cs="Tahoma"/>
          <w:b/>
          <w:bCs/>
          <w:sz w:val="22"/>
          <w:szCs w:val="22"/>
        </w:rPr>
        <w:t>JUSTIFICATIVA</w:t>
      </w:r>
    </w:p>
    <w:p w:rsidR="00392085" w:rsidRPr="00784603" w:rsidRDefault="00392085" w:rsidP="00784603">
      <w:pPr>
        <w:spacing w:line="360" w:lineRule="auto"/>
        <w:ind w:firstLine="1134"/>
        <w:jc w:val="both"/>
        <w:rPr>
          <w:rFonts w:ascii="Tahoma" w:hAnsi="Tahoma" w:cs="Tahoma"/>
          <w:sz w:val="22"/>
          <w:szCs w:val="22"/>
        </w:rPr>
      </w:pPr>
    </w:p>
    <w:p w:rsidR="004F502A" w:rsidRPr="00C538EE" w:rsidRDefault="004F502A" w:rsidP="00784603">
      <w:pPr>
        <w:spacing w:line="360" w:lineRule="auto"/>
        <w:ind w:firstLine="1134"/>
        <w:jc w:val="both"/>
        <w:rPr>
          <w:rFonts w:ascii="Tahoma" w:hAnsi="Tahoma" w:cs="Tahoma"/>
          <w:sz w:val="22"/>
          <w:szCs w:val="22"/>
        </w:rPr>
      </w:pPr>
      <w:r w:rsidRPr="00C538EE">
        <w:rPr>
          <w:rFonts w:ascii="Tahoma" w:hAnsi="Tahoma" w:cs="Tahoma"/>
          <w:sz w:val="22"/>
          <w:szCs w:val="22"/>
        </w:rPr>
        <w:t xml:space="preserve">A economia de Niterói está atualmente centrada predominantemente no setor terciário ou de Serviços, considerando que, as atividades industriais tiveram maior expressão no passado, vem perdendo posição desde muitos decênios, porém tenham se recuperado parcialmente a partir da reativação da indústria naval na década de 2000, embora ainda de maneira embrionária. </w:t>
      </w:r>
    </w:p>
    <w:p w:rsidR="00C538EE" w:rsidRPr="00C538EE" w:rsidRDefault="00C538EE" w:rsidP="00784603">
      <w:pPr>
        <w:spacing w:line="360" w:lineRule="auto"/>
        <w:ind w:firstLine="1134"/>
        <w:jc w:val="both"/>
        <w:rPr>
          <w:rFonts w:ascii="Tahoma" w:hAnsi="Tahoma" w:cs="Tahoma"/>
          <w:sz w:val="22"/>
          <w:szCs w:val="22"/>
        </w:rPr>
      </w:pPr>
    </w:p>
    <w:p w:rsidR="004F502A" w:rsidRPr="00C538EE" w:rsidRDefault="004F502A" w:rsidP="00784603">
      <w:pPr>
        <w:spacing w:line="360" w:lineRule="auto"/>
        <w:ind w:firstLine="1134"/>
        <w:jc w:val="both"/>
        <w:rPr>
          <w:rFonts w:ascii="Tahoma" w:hAnsi="Tahoma" w:cs="Tahoma"/>
          <w:sz w:val="22"/>
          <w:szCs w:val="22"/>
        </w:rPr>
      </w:pPr>
      <w:r w:rsidRPr="00C538EE">
        <w:rPr>
          <w:rFonts w:ascii="Tahoma" w:hAnsi="Tahoma" w:cs="Tahoma"/>
          <w:sz w:val="22"/>
          <w:szCs w:val="22"/>
        </w:rPr>
        <w:t xml:space="preserve">No final do século XIX e início do XX, a cidade era um importante centro Industrial, tendo-se destacado no setor têxtil produção de fósforo, de alimentos, velas e indústria naval, entre outros. No entanto, por várias razões, a economia industrial do município veio perdendo posição relativa, tal como a economia fluminense Como um todo perdeu posição significativamente ao longo do século XX para a economia emergente de São Paulo e mais recentemente, de Minas Gerais. Nos últimos anos Niterói despontou como polo de apoio as cidades produtoras de petróleo do país. </w:t>
      </w:r>
    </w:p>
    <w:p w:rsidR="00C538EE" w:rsidRPr="00C538EE" w:rsidRDefault="00C538EE" w:rsidP="00784603">
      <w:pPr>
        <w:spacing w:line="360" w:lineRule="auto"/>
        <w:ind w:firstLine="1134"/>
        <w:jc w:val="both"/>
        <w:rPr>
          <w:rFonts w:ascii="Tahoma" w:hAnsi="Tahoma" w:cs="Tahoma"/>
          <w:sz w:val="22"/>
          <w:szCs w:val="22"/>
        </w:rPr>
      </w:pPr>
    </w:p>
    <w:p w:rsidR="00C538EE" w:rsidRPr="00C538EE" w:rsidRDefault="004F502A" w:rsidP="00784603">
      <w:pPr>
        <w:spacing w:line="360" w:lineRule="auto"/>
        <w:ind w:firstLine="1134"/>
        <w:jc w:val="both"/>
        <w:rPr>
          <w:rFonts w:ascii="Tahoma" w:hAnsi="Tahoma" w:cs="Tahoma"/>
          <w:sz w:val="22"/>
          <w:szCs w:val="22"/>
        </w:rPr>
      </w:pPr>
      <w:r w:rsidRPr="00C538EE">
        <w:rPr>
          <w:rFonts w:ascii="Tahoma" w:hAnsi="Tahoma" w:cs="Tahoma"/>
          <w:sz w:val="22"/>
          <w:szCs w:val="22"/>
        </w:rPr>
        <w:t>Por sua localização privilegiada, o município, situado entre as duas maiores bacias de petróleo e gás natural do Brasil</w:t>
      </w:r>
      <w:r w:rsidR="00C538EE" w:rsidRPr="00C538EE">
        <w:rPr>
          <w:rFonts w:ascii="Tahoma" w:hAnsi="Tahoma" w:cs="Tahoma"/>
          <w:sz w:val="22"/>
          <w:szCs w:val="22"/>
        </w:rPr>
        <w:t xml:space="preserve"> </w:t>
      </w:r>
      <w:r w:rsidRPr="00C538EE">
        <w:rPr>
          <w:rFonts w:ascii="Tahoma" w:hAnsi="Tahoma" w:cs="Tahoma"/>
          <w:sz w:val="22"/>
          <w:szCs w:val="22"/>
        </w:rPr>
        <w:t>- Bacia de Campos e de Santos</w:t>
      </w:r>
      <w:r w:rsidR="00C538EE" w:rsidRPr="00C538EE">
        <w:rPr>
          <w:rFonts w:ascii="Tahoma" w:hAnsi="Tahoma" w:cs="Tahoma"/>
          <w:sz w:val="22"/>
          <w:szCs w:val="22"/>
        </w:rPr>
        <w:t xml:space="preserve"> -</w:t>
      </w:r>
      <w:r w:rsidRPr="00C538EE">
        <w:rPr>
          <w:rFonts w:ascii="Tahoma" w:hAnsi="Tahoma" w:cs="Tahoma"/>
          <w:sz w:val="22"/>
          <w:szCs w:val="22"/>
        </w:rPr>
        <w:t xml:space="preserve"> tem </w:t>
      </w:r>
      <w:r w:rsidR="00C538EE" w:rsidRPr="00C538EE">
        <w:rPr>
          <w:rFonts w:ascii="Tahoma" w:hAnsi="Tahoma" w:cs="Tahoma"/>
          <w:sz w:val="22"/>
          <w:szCs w:val="22"/>
        </w:rPr>
        <w:t>importância</w:t>
      </w:r>
      <w:r w:rsidRPr="00C538EE">
        <w:rPr>
          <w:rFonts w:ascii="Tahoma" w:hAnsi="Tahoma" w:cs="Tahoma"/>
          <w:sz w:val="22"/>
          <w:szCs w:val="22"/>
        </w:rPr>
        <w:t xml:space="preserve"> estratégica para o crescimento nacional do setor. A recuperação da </w:t>
      </w:r>
      <w:r w:rsidR="00C538EE" w:rsidRPr="00C538EE">
        <w:rPr>
          <w:rFonts w:ascii="Tahoma" w:hAnsi="Tahoma" w:cs="Tahoma"/>
          <w:sz w:val="22"/>
          <w:szCs w:val="22"/>
        </w:rPr>
        <w:t>indústria</w:t>
      </w:r>
      <w:r w:rsidRPr="00C538EE">
        <w:rPr>
          <w:rFonts w:ascii="Tahoma" w:hAnsi="Tahoma" w:cs="Tahoma"/>
          <w:sz w:val="22"/>
          <w:szCs w:val="22"/>
        </w:rPr>
        <w:t xml:space="preserve"> naval e os investimentos na </w:t>
      </w:r>
      <w:r w:rsidR="00C538EE" w:rsidRPr="00C538EE">
        <w:rPr>
          <w:rFonts w:ascii="Tahoma" w:hAnsi="Tahoma" w:cs="Tahoma"/>
          <w:sz w:val="22"/>
          <w:szCs w:val="22"/>
        </w:rPr>
        <w:t>qualificação</w:t>
      </w:r>
      <w:r w:rsidRPr="00C538EE">
        <w:rPr>
          <w:rFonts w:ascii="Tahoma" w:hAnsi="Tahoma" w:cs="Tahoma"/>
          <w:sz w:val="22"/>
          <w:szCs w:val="22"/>
        </w:rPr>
        <w:t xml:space="preserve"> da mão-de-obra impulsionaram o desenvolvimento. Somente no setor de petróleo, de acordo com o Instituto Brasileiro de Petróleo e Gás (|BP), a região responde por 70% do parque instalado fluminense, </w:t>
      </w:r>
      <w:r w:rsidR="00C538EE" w:rsidRPr="00C538EE">
        <w:rPr>
          <w:rFonts w:ascii="Tahoma" w:hAnsi="Tahoma" w:cs="Tahoma"/>
          <w:sz w:val="22"/>
          <w:szCs w:val="22"/>
        </w:rPr>
        <w:t>concentrando</w:t>
      </w:r>
      <w:r w:rsidRPr="00C538EE">
        <w:rPr>
          <w:rFonts w:ascii="Tahoma" w:hAnsi="Tahoma" w:cs="Tahoma"/>
          <w:sz w:val="22"/>
          <w:szCs w:val="22"/>
        </w:rPr>
        <w:t xml:space="preserve"> desde empresas de offshore a estaleiros. Esse </w:t>
      </w:r>
      <w:r w:rsidR="00C538EE" w:rsidRPr="00C538EE">
        <w:rPr>
          <w:rFonts w:ascii="Tahoma" w:hAnsi="Tahoma" w:cs="Tahoma"/>
          <w:sz w:val="22"/>
          <w:szCs w:val="22"/>
        </w:rPr>
        <w:t>crescimento é</w:t>
      </w:r>
      <w:r w:rsidRPr="00C538EE">
        <w:rPr>
          <w:rFonts w:ascii="Tahoma" w:hAnsi="Tahoma" w:cs="Tahoma"/>
          <w:sz w:val="22"/>
          <w:szCs w:val="22"/>
        </w:rPr>
        <w:t xml:space="preserve"> refletido no PIB do município, que já em 2003 teve um aumento de 10%, resultado que garantiu </w:t>
      </w:r>
      <w:r w:rsidR="00C538EE" w:rsidRPr="00C538EE">
        <w:rPr>
          <w:rFonts w:ascii="Tahoma" w:hAnsi="Tahoma" w:cs="Tahoma"/>
          <w:sz w:val="22"/>
          <w:szCs w:val="22"/>
        </w:rPr>
        <w:t>o quarto lugar em participação no PIB estadual.</w:t>
      </w:r>
    </w:p>
    <w:p w:rsidR="00C538EE" w:rsidRPr="00C538EE" w:rsidRDefault="00C538EE" w:rsidP="00784603">
      <w:pPr>
        <w:spacing w:line="360" w:lineRule="auto"/>
        <w:ind w:firstLine="1134"/>
        <w:jc w:val="both"/>
        <w:rPr>
          <w:rFonts w:ascii="Tahoma" w:hAnsi="Tahoma" w:cs="Tahoma"/>
          <w:sz w:val="22"/>
          <w:szCs w:val="22"/>
        </w:rPr>
      </w:pPr>
    </w:p>
    <w:p w:rsidR="00C538EE" w:rsidRPr="00C538EE" w:rsidRDefault="004F502A" w:rsidP="00784603">
      <w:pPr>
        <w:spacing w:line="360" w:lineRule="auto"/>
        <w:ind w:firstLine="1134"/>
        <w:jc w:val="both"/>
        <w:rPr>
          <w:rFonts w:ascii="Tahoma" w:hAnsi="Tahoma" w:cs="Tahoma"/>
          <w:sz w:val="22"/>
          <w:szCs w:val="22"/>
        </w:rPr>
      </w:pPr>
      <w:r w:rsidRPr="00C538EE">
        <w:rPr>
          <w:rFonts w:ascii="Tahoma" w:hAnsi="Tahoma" w:cs="Tahoma"/>
          <w:sz w:val="22"/>
          <w:szCs w:val="22"/>
        </w:rPr>
        <w:t xml:space="preserve">São mais de 15 estaleiros no estado, com previsão de instalação de mais cinco. A maior concentração de estaleiros no estado fica na </w:t>
      </w:r>
      <w:r w:rsidR="00C538EE" w:rsidRPr="00C538EE">
        <w:rPr>
          <w:rFonts w:ascii="Tahoma" w:hAnsi="Tahoma" w:cs="Tahoma"/>
          <w:sz w:val="22"/>
          <w:szCs w:val="22"/>
        </w:rPr>
        <w:t>Região</w:t>
      </w:r>
      <w:r w:rsidRPr="00C538EE">
        <w:rPr>
          <w:rFonts w:ascii="Tahoma" w:hAnsi="Tahoma" w:cs="Tahoma"/>
          <w:sz w:val="22"/>
          <w:szCs w:val="22"/>
        </w:rPr>
        <w:t xml:space="preserve"> Metropolitana, principalmente em Niterói. STX </w:t>
      </w:r>
      <w:proofErr w:type="spellStart"/>
      <w:r w:rsidRPr="00C538EE">
        <w:rPr>
          <w:rFonts w:ascii="Tahoma" w:hAnsi="Tahoma" w:cs="Tahoma"/>
          <w:sz w:val="22"/>
          <w:szCs w:val="22"/>
        </w:rPr>
        <w:t>Europe</w:t>
      </w:r>
      <w:proofErr w:type="spellEnd"/>
      <w:r w:rsidRPr="00C538EE">
        <w:rPr>
          <w:rFonts w:ascii="Tahoma" w:hAnsi="Tahoma" w:cs="Tahoma"/>
          <w:sz w:val="22"/>
          <w:szCs w:val="22"/>
        </w:rPr>
        <w:t xml:space="preserve">, Aliança, </w:t>
      </w:r>
      <w:proofErr w:type="spellStart"/>
      <w:r w:rsidRPr="00C538EE">
        <w:rPr>
          <w:rFonts w:ascii="Tahoma" w:hAnsi="Tahoma" w:cs="Tahoma"/>
          <w:sz w:val="22"/>
          <w:szCs w:val="22"/>
        </w:rPr>
        <w:t>Renave</w:t>
      </w:r>
      <w:proofErr w:type="spellEnd"/>
      <w:r w:rsidRPr="00C538EE">
        <w:rPr>
          <w:rFonts w:ascii="Tahoma" w:hAnsi="Tahoma" w:cs="Tahoma"/>
          <w:sz w:val="22"/>
          <w:szCs w:val="22"/>
        </w:rPr>
        <w:t>/</w:t>
      </w:r>
      <w:proofErr w:type="spellStart"/>
      <w:r w:rsidRPr="00C538EE">
        <w:rPr>
          <w:rFonts w:ascii="Tahoma" w:hAnsi="Tahoma" w:cs="Tahoma"/>
          <w:sz w:val="22"/>
          <w:szCs w:val="22"/>
        </w:rPr>
        <w:t>Enavi</w:t>
      </w:r>
      <w:proofErr w:type="spellEnd"/>
      <w:r w:rsidRPr="00C538EE">
        <w:rPr>
          <w:rFonts w:ascii="Tahoma" w:hAnsi="Tahoma" w:cs="Tahoma"/>
          <w:sz w:val="22"/>
          <w:szCs w:val="22"/>
        </w:rPr>
        <w:t xml:space="preserve">, Estaleiro Mauá, </w:t>
      </w:r>
      <w:proofErr w:type="spellStart"/>
      <w:r w:rsidRPr="00C538EE">
        <w:rPr>
          <w:rFonts w:ascii="Tahoma" w:hAnsi="Tahoma" w:cs="Tahoma"/>
          <w:sz w:val="22"/>
          <w:szCs w:val="22"/>
        </w:rPr>
        <w:t>Cassinú</w:t>
      </w:r>
      <w:proofErr w:type="spellEnd"/>
      <w:r w:rsidRPr="00C538EE">
        <w:rPr>
          <w:rFonts w:ascii="Tahoma" w:hAnsi="Tahoma" w:cs="Tahoma"/>
          <w:sz w:val="22"/>
          <w:szCs w:val="22"/>
        </w:rPr>
        <w:t xml:space="preserve">, UTC, </w:t>
      </w:r>
      <w:proofErr w:type="spellStart"/>
      <w:r w:rsidRPr="00C538EE">
        <w:rPr>
          <w:rFonts w:ascii="Tahoma" w:hAnsi="Tahoma" w:cs="Tahoma"/>
          <w:sz w:val="22"/>
          <w:szCs w:val="22"/>
        </w:rPr>
        <w:t>Transnave</w:t>
      </w:r>
      <w:proofErr w:type="spellEnd"/>
      <w:r w:rsidRPr="00C538EE">
        <w:rPr>
          <w:rFonts w:ascii="Tahoma" w:hAnsi="Tahoma" w:cs="Tahoma"/>
          <w:sz w:val="22"/>
          <w:szCs w:val="22"/>
        </w:rPr>
        <w:t xml:space="preserve">, </w:t>
      </w:r>
      <w:proofErr w:type="spellStart"/>
      <w:r w:rsidRPr="00C538EE">
        <w:rPr>
          <w:rFonts w:ascii="Tahoma" w:hAnsi="Tahoma" w:cs="Tahoma"/>
          <w:sz w:val="22"/>
          <w:szCs w:val="22"/>
        </w:rPr>
        <w:t>Eisa</w:t>
      </w:r>
      <w:proofErr w:type="spellEnd"/>
      <w:r w:rsidRPr="00C538EE">
        <w:rPr>
          <w:rFonts w:ascii="Tahoma" w:hAnsi="Tahoma" w:cs="Tahoma"/>
          <w:sz w:val="22"/>
          <w:szCs w:val="22"/>
        </w:rPr>
        <w:t xml:space="preserve">, Rio Nave, </w:t>
      </w:r>
      <w:proofErr w:type="spellStart"/>
      <w:r w:rsidRPr="00C538EE">
        <w:rPr>
          <w:rFonts w:ascii="Tahoma" w:hAnsi="Tahoma" w:cs="Tahoma"/>
          <w:sz w:val="22"/>
          <w:szCs w:val="22"/>
        </w:rPr>
        <w:t>Sermetal</w:t>
      </w:r>
      <w:proofErr w:type="spellEnd"/>
      <w:r w:rsidRPr="00C538EE">
        <w:rPr>
          <w:rFonts w:ascii="Tahoma" w:hAnsi="Tahoma" w:cs="Tahoma"/>
          <w:sz w:val="22"/>
          <w:szCs w:val="22"/>
        </w:rPr>
        <w:t xml:space="preserve">, Arsenal da Marinha, </w:t>
      </w:r>
      <w:proofErr w:type="spellStart"/>
      <w:r w:rsidRPr="00C538EE">
        <w:rPr>
          <w:rFonts w:ascii="Tahoma" w:hAnsi="Tahoma" w:cs="Tahoma"/>
          <w:sz w:val="22"/>
          <w:szCs w:val="22"/>
        </w:rPr>
        <w:t>Setal</w:t>
      </w:r>
      <w:proofErr w:type="spellEnd"/>
      <w:r w:rsidRPr="00C538EE">
        <w:rPr>
          <w:rFonts w:ascii="Tahoma" w:hAnsi="Tahoma" w:cs="Tahoma"/>
          <w:sz w:val="22"/>
          <w:szCs w:val="22"/>
        </w:rPr>
        <w:t xml:space="preserve">, SRD Offshore, </w:t>
      </w:r>
      <w:proofErr w:type="spellStart"/>
      <w:r w:rsidRPr="00C538EE">
        <w:rPr>
          <w:rFonts w:ascii="Tahoma" w:hAnsi="Tahoma" w:cs="Tahoma"/>
          <w:sz w:val="22"/>
          <w:szCs w:val="22"/>
        </w:rPr>
        <w:t>Brasfels</w:t>
      </w:r>
      <w:proofErr w:type="spellEnd"/>
      <w:r w:rsidRPr="00C538EE">
        <w:rPr>
          <w:rFonts w:ascii="Tahoma" w:hAnsi="Tahoma" w:cs="Tahoma"/>
          <w:sz w:val="22"/>
          <w:szCs w:val="22"/>
        </w:rPr>
        <w:t xml:space="preserve"> e Mac </w:t>
      </w:r>
      <w:proofErr w:type="spellStart"/>
      <w:r w:rsidRPr="00C538EE">
        <w:rPr>
          <w:rFonts w:ascii="Tahoma" w:hAnsi="Tahoma" w:cs="Tahoma"/>
          <w:sz w:val="22"/>
          <w:szCs w:val="22"/>
        </w:rPr>
        <w:t>Laren</w:t>
      </w:r>
      <w:proofErr w:type="spellEnd"/>
      <w:r w:rsidRPr="00C538EE">
        <w:rPr>
          <w:rFonts w:ascii="Tahoma" w:hAnsi="Tahoma" w:cs="Tahoma"/>
          <w:sz w:val="22"/>
          <w:szCs w:val="22"/>
        </w:rPr>
        <w:t xml:space="preserve"> </w:t>
      </w:r>
      <w:proofErr w:type="spellStart"/>
      <w:r w:rsidRPr="00C538EE">
        <w:rPr>
          <w:rFonts w:ascii="Tahoma" w:hAnsi="Tahoma" w:cs="Tahoma"/>
          <w:sz w:val="22"/>
          <w:szCs w:val="22"/>
        </w:rPr>
        <w:t>Oil</w:t>
      </w:r>
      <w:proofErr w:type="spellEnd"/>
      <w:r w:rsidRPr="00C538EE">
        <w:rPr>
          <w:rFonts w:ascii="Tahoma" w:hAnsi="Tahoma" w:cs="Tahoma"/>
          <w:sz w:val="22"/>
          <w:szCs w:val="22"/>
        </w:rPr>
        <w:t xml:space="preserve"> são os estaleiros que compõem a indústria naval do Rio. Estão previstas as construções do Aliança Offshore, Estaleiro </w:t>
      </w:r>
      <w:proofErr w:type="spellStart"/>
      <w:r w:rsidRPr="00C538EE">
        <w:rPr>
          <w:rFonts w:ascii="Tahoma" w:hAnsi="Tahoma" w:cs="Tahoma"/>
          <w:sz w:val="22"/>
          <w:szCs w:val="22"/>
        </w:rPr>
        <w:t>Alusa</w:t>
      </w:r>
      <w:proofErr w:type="spellEnd"/>
      <w:r w:rsidRPr="00C538EE">
        <w:rPr>
          <w:rFonts w:ascii="Tahoma" w:hAnsi="Tahoma" w:cs="Tahoma"/>
          <w:sz w:val="22"/>
          <w:szCs w:val="22"/>
        </w:rPr>
        <w:t>-Galvão</w:t>
      </w:r>
      <w:r w:rsidR="00C538EE" w:rsidRPr="00C538EE">
        <w:rPr>
          <w:rFonts w:ascii="Tahoma" w:hAnsi="Tahoma" w:cs="Tahoma"/>
          <w:sz w:val="22"/>
          <w:szCs w:val="22"/>
        </w:rPr>
        <w:t>,</w:t>
      </w:r>
      <w:r w:rsidRPr="00C538EE">
        <w:rPr>
          <w:rFonts w:ascii="Tahoma" w:hAnsi="Tahoma" w:cs="Tahoma"/>
          <w:sz w:val="22"/>
          <w:szCs w:val="22"/>
        </w:rPr>
        <w:t xml:space="preserve"> Inhaúma, Estaleiro OSX e</w:t>
      </w:r>
      <w:r w:rsidR="00C538EE" w:rsidRPr="00C538EE">
        <w:rPr>
          <w:rFonts w:ascii="Tahoma" w:hAnsi="Tahoma" w:cs="Tahoma"/>
          <w:sz w:val="22"/>
          <w:szCs w:val="22"/>
        </w:rPr>
        <w:t xml:space="preserve"> </w:t>
      </w:r>
      <w:r w:rsidRPr="00C538EE">
        <w:rPr>
          <w:rFonts w:ascii="Tahoma" w:hAnsi="Tahoma" w:cs="Tahoma"/>
          <w:sz w:val="22"/>
          <w:szCs w:val="22"/>
        </w:rPr>
        <w:t xml:space="preserve">o da Marinha. </w:t>
      </w:r>
    </w:p>
    <w:p w:rsidR="00C538EE" w:rsidRPr="00C538EE" w:rsidRDefault="00C538EE" w:rsidP="00784603">
      <w:pPr>
        <w:spacing w:line="360" w:lineRule="auto"/>
        <w:ind w:firstLine="1134"/>
        <w:jc w:val="both"/>
        <w:rPr>
          <w:rFonts w:ascii="Tahoma" w:hAnsi="Tahoma" w:cs="Tahoma"/>
          <w:sz w:val="22"/>
          <w:szCs w:val="22"/>
        </w:rPr>
      </w:pPr>
    </w:p>
    <w:p w:rsidR="00C538EE" w:rsidRPr="00C538EE" w:rsidRDefault="004F502A" w:rsidP="00784603">
      <w:pPr>
        <w:spacing w:line="360" w:lineRule="auto"/>
        <w:ind w:firstLine="1134"/>
        <w:jc w:val="both"/>
        <w:rPr>
          <w:rFonts w:ascii="Tahoma" w:hAnsi="Tahoma" w:cs="Tahoma"/>
          <w:sz w:val="22"/>
          <w:szCs w:val="22"/>
        </w:rPr>
      </w:pPr>
      <w:r w:rsidRPr="00C538EE">
        <w:rPr>
          <w:rFonts w:ascii="Tahoma" w:hAnsi="Tahoma" w:cs="Tahoma"/>
          <w:sz w:val="22"/>
          <w:szCs w:val="22"/>
        </w:rPr>
        <w:t xml:space="preserve">Visando adequar o Plano Diretor de Niterói sancionado no ano de 2019 </w:t>
      </w:r>
      <w:r w:rsidR="00C538EE" w:rsidRPr="00C538EE">
        <w:rPr>
          <w:rFonts w:ascii="Tahoma" w:hAnsi="Tahoma" w:cs="Tahoma"/>
          <w:sz w:val="22"/>
          <w:szCs w:val="22"/>
        </w:rPr>
        <w:t>e a Lei de Uso e Ocupação do Solo, em trâmite nesta Casa de Leis tendo em vista a importância</w:t>
      </w:r>
      <w:r w:rsidRPr="00C538EE">
        <w:rPr>
          <w:rFonts w:ascii="Tahoma" w:hAnsi="Tahoma" w:cs="Tahoma"/>
          <w:sz w:val="22"/>
          <w:szCs w:val="22"/>
        </w:rPr>
        <w:t xml:space="preserve"> da indústria naval na economia da cidade e por tudo que representa para nosso estado e país é que se justifica a presente proposição.</w:t>
      </w:r>
    </w:p>
    <w:p w:rsidR="00C538EE" w:rsidRPr="00C538EE" w:rsidRDefault="00C538EE" w:rsidP="00784603">
      <w:pPr>
        <w:spacing w:line="360" w:lineRule="auto"/>
        <w:ind w:firstLine="1134"/>
        <w:jc w:val="both"/>
        <w:rPr>
          <w:rFonts w:ascii="Tahoma" w:hAnsi="Tahoma" w:cs="Tahoma"/>
          <w:sz w:val="22"/>
          <w:szCs w:val="22"/>
        </w:rPr>
      </w:pPr>
    </w:p>
    <w:p w:rsidR="00F64226" w:rsidRPr="00C538EE" w:rsidRDefault="008E6B5A" w:rsidP="00784603">
      <w:pPr>
        <w:spacing w:line="360" w:lineRule="auto"/>
        <w:ind w:firstLine="1134"/>
        <w:jc w:val="both"/>
        <w:rPr>
          <w:rFonts w:ascii="Tahoma" w:hAnsi="Tahoma" w:cs="Tahoma"/>
          <w:sz w:val="22"/>
          <w:szCs w:val="22"/>
        </w:rPr>
      </w:pPr>
      <w:r w:rsidRPr="00C538EE">
        <w:rPr>
          <w:rFonts w:ascii="Tahoma" w:hAnsi="Tahoma" w:cs="Tahoma"/>
          <w:sz w:val="22"/>
          <w:szCs w:val="22"/>
        </w:rPr>
        <w:t>Contamos</w:t>
      </w:r>
      <w:r w:rsidR="00F64226" w:rsidRPr="00C538EE">
        <w:rPr>
          <w:rFonts w:ascii="Tahoma" w:hAnsi="Tahoma" w:cs="Tahoma"/>
          <w:sz w:val="22"/>
          <w:szCs w:val="22"/>
        </w:rPr>
        <w:t xml:space="preserve"> com o apoio dos nobres pares para aprovação da presente emenda.</w:t>
      </w:r>
    </w:p>
    <w:p w:rsidR="00F64226" w:rsidRPr="00784603" w:rsidRDefault="00F64226" w:rsidP="00784603">
      <w:pPr>
        <w:spacing w:line="360" w:lineRule="auto"/>
        <w:ind w:firstLine="1134"/>
        <w:jc w:val="both"/>
        <w:rPr>
          <w:rFonts w:ascii="Tahoma" w:hAnsi="Tahoma" w:cs="Tahoma"/>
          <w:sz w:val="22"/>
          <w:szCs w:val="22"/>
        </w:rPr>
      </w:pPr>
    </w:p>
    <w:sectPr w:rsidR="00F64226" w:rsidRPr="00784603" w:rsidSect="00183C2C">
      <w:headerReference w:type="default" r:id="rId8"/>
      <w:pgSz w:w="11905" w:h="16837"/>
      <w:pgMar w:top="174" w:right="1701" w:bottom="141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1C1" w:rsidRDefault="004631C1" w:rsidP="00392085">
      <w:r>
        <w:separator/>
      </w:r>
    </w:p>
  </w:endnote>
  <w:endnote w:type="continuationSeparator" w:id="0">
    <w:p w:rsidR="004631C1" w:rsidRDefault="004631C1" w:rsidP="00392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1C1" w:rsidRDefault="004631C1" w:rsidP="00392085">
      <w:r>
        <w:separator/>
      </w:r>
    </w:p>
  </w:footnote>
  <w:footnote w:type="continuationSeparator" w:id="0">
    <w:p w:rsidR="004631C1" w:rsidRDefault="004631C1" w:rsidP="003920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4" w:type="dxa"/>
      <w:tblInd w:w="2" w:type="dxa"/>
      <w:tblLayout w:type="fixed"/>
      <w:tblLook w:val="0000" w:firstRow="0" w:lastRow="0" w:firstColumn="0" w:lastColumn="0" w:noHBand="0" w:noVBand="0"/>
    </w:tblPr>
    <w:tblGrid>
      <w:gridCol w:w="1728"/>
      <w:gridCol w:w="7486"/>
    </w:tblGrid>
    <w:tr w:rsidR="004F502A" w:rsidRPr="005A3F8F" w:rsidTr="00183C2C">
      <w:trPr>
        <w:trHeight w:val="2275"/>
      </w:trPr>
      <w:tc>
        <w:tcPr>
          <w:tcW w:w="1728" w:type="dxa"/>
        </w:tcPr>
        <w:p w:rsidR="004F502A" w:rsidRPr="005A3F8F" w:rsidRDefault="004F502A" w:rsidP="004F502A">
          <w:pPr>
            <w:pStyle w:val="Cabealho"/>
            <w:snapToGrid w:val="0"/>
            <w:jc w:val="center"/>
            <w:rPr>
              <w:rFonts w:ascii="Tahoma" w:hAnsi="Tahoma" w:cs="Tahoma"/>
              <w:lang w:val="pt-BR"/>
            </w:rPr>
          </w:pPr>
          <w:r>
            <w:rPr>
              <w:rFonts w:ascii="Tahoma" w:hAnsi="Tahoma" w:cs="Tahoma"/>
              <w:noProof/>
              <w:sz w:val="22"/>
              <w:szCs w:val="22"/>
              <w:lang w:val="pt-BR" w:eastAsia="pt-BR"/>
            </w:rPr>
            <w:t xml:space="preserve"> </w:t>
          </w:r>
          <w:r w:rsidRPr="005A3F8F">
            <w:rPr>
              <w:rFonts w:ascii="Tahoma" w:hAnsi="Tahoma" w:cs="Tahoma"/>
              <w:noProof/>
              <w:sz w:val="22"/>
              <w:szCs w:val="22"/>
              <w:lang w:val="pt-BR" w:eastAsia="pt-BR"/>
            </w:rPr>
            <w:t xml:space="preserve"> </w:t>
          </w:r>
          <w:r w:rsidR="00762B5C" w:rsidRPr="005A3F8F">
            <w:rPr>
              <w:rFonts w:ascii="Tahoma" w:hAnsi="Tahoma" w:cs="Tahoma"/>
              <w:noProof/>
              <w:sz w:val="22"/>
              <w:szCs w:val="22"/>
              <w:lang w:val="pt-BR" w:eastAsia="pt-BR"/>
            </w:rPr>
            <w:drawing>
              <wp:inline distT="0" distB="0" distL="0" distR="0">
                <wp:extent cx="914400" cy="1123950"/>
                <wp:effectExtent l="0" t="0" r="0" b="0"/>
                <wp:docPr id="5"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123950"/>
                        </a:xfrm>
                        <a:prstGeom prst="rect">
                          <a:avLst/>
                        </a:prstGeom>
                        <a:solidFill>
                          <a:srgbClr val="FFFFFF"/>
                        </a:solidFill>
                        <a:ln>
                          <a:noFill/>
                        </a:ln>
                      </pic:spPr>
                    </pic:pic>
                  </a:graphicData>
                </a:graphic>
              </wp:inline>
            </w:drawing>
          </w:r>
        </w:p>
      </w:tc>
      <w:tc>
        <w:tcPr>
          <w:tcW w:w="7486" w:type="dxa"/>
        </w:tcPr>
        <w:p w:rsidR="004F502A" w:rsidRPr="005A3F8F" w:rsidRDefault="004F502A" w:rsidP="004F502A">
          <w:pPr>
            <w:pStyle w:val="Cabealho"/>
            <w:snapToGrid w:val="0"/>
            <w:jc w:val="center"/>
            <w:rPr>
              <w:rFonts w:ascii="Tahoma" w:hAnsi="Tahoma" w:cs="Tahoma"/>
              <w:lang w:val="pt-BR"/>
            </w:rPr>
          </w:pPr>
        </w:p>
        <w:p w:rsidR="004F502A" w:rsidRPr="005A3F8F" w:rsidRDefault="004F502A" w:rsidP="004F502A">
          <w:pPr>
            <w:pStyle w:val="Cabealho"/>
            <w:jc w:val="center"/>
            <w:rPr>
              <w:rFonts w:ascii="Tahoma" w:hAnsi="Tahoma" w:cs="Tahoma"/>
              <w:lang w:val="pt-BR"/>
            </w:rPr>
          </w:pPr>
        </w:p>
        <w:p w:rsidR="004F502A" w:rsidRPr="005A3F8F" w:rsidRDefault="004F502A" w:rsidP="004F502A">
          <w:pPr>
            <w:pStyle w:val="Cabealho"/>
            <w:jc w:val="center"/>
            <w:rPr>
              <w:rFonts w:ascii="Tahoma" w:hAnsi="Tahoma" w:cs="Tahoma"/>
              <w:b/>
              <w:bCs/>
              <w:sz w:val="48"/>
              <w:szCs w:val="48"/>
              <w:lang w:val="pt-BR"/>
            </w:rPr>
          </w:pPr>
          <w:r w:rsidRPr="005A3F8F">
            <w:rPr>
              <w:rFonts w:ascii="Tahoma" w:hAnsi="Tahoma" w:cs="Tahoma"/>
              <w:b/>
              <w:bCs/>
              <w:sz w:val="48"/>
              <w:szCs w:val="48"/>
              <w:lang w:val="pt-BR"/>
            </w:rPr>
            <w:t>Câmara Municipal de Niterói</w:t>
          </w:r>
        </w:p>
        <w:p w:rsidR="00183C2C" w:rsidRPr="005A3F8F" w:rsidRDefault="00183C2C" w:rsidP="00183C2C">
          <w:pPr>
            <w:pStyle w:val="Cabealho"/>
            <w:jc w:val="center"/>
            <w:rPr>
              <w:rFonts w:ascii="Tahoma" w:hAnsi="Tahoma" w:cs="Tahoma"/>
              <w:b/>
              <w:bCs/>
              <w:sz w:val="48"/>
              <w:szCs w:val="48"/>
              <w:lang w:val="pt-BR"/>
            </w:rPr>
          </w:pPr>
          <w:r>
            <w:rPr>
              <w:color w:val="000000"/>
              <w:sz w:val="27"/>
              <w:szCs w:val="27"/>
            </w:rPr>
            <w:t>Comissão Permanente de Urbanismo, Obras, Serviços Públicos, Transportes e Trânsito - CUOSPTT</w:t>
          </w:r>
        </w:p>
        <w:p w:rsidR="004F502A" w:rsidRPr="005A3F8F" w:rsidRDefault="004F502A" w:rsidP="004F502A">
          <w:pPr>
            <w:pStyle w:val="Cabealho"/>
            <w:jc w:val="center"/>
            <w:rPr>
              <w:rFonts w:ascii="Tahoma" w:hAnsi="Tahoma" w:cs="Tahoma"/>
              <w:sz w:val="36"/>
              <w:szCs w:val="36"/>
              <w:lang w:val="pt-BR"/>
            </w:rPr>
          </w:pPr>
        </w:p>
        <w:p w:rsidR="004F502A" w:rsidRPr="005A3F8F" w:rsidRDefault="004F502A" w:rsidP="004F502A">
          <w:pPr>
            <w:pStyle w:val="Cabealho"/>
            <w:jc w:val="center"/>
            <w:rPr>
              <w:rFonts w:ascii="Tahoma" w:hAnsi="Tahoma" w:cs="Tahoma"/>
              <w:b/>
              <w:bCs/>
              <w:lang w:val="pt-BR"/>
            </w:rPr>
          </w:pPr>
        </w:p>
      </w:tc>
    </w:tr>
  </w:tbl>
  <w:p w:rsidR="004F502A" w:rsidRDefault="004F502A">
    <w:pPr>
      <w:pStyle w:val="Cabealho"/>
    </w:pPr>
  </w:p>
  <w:p w:rsidR="004F502A" w:rsidRDefault="004F502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F12E5D"/>
    <w:multiLevelType w:val="hybridMultilevel"/>
    <w:tmpl w:val="BCD82ADA"/>
    <w:lvl w:ilvl="0" w:tplc="4E14D400">
      <w:start w:val="1"/>
      <w:numFmt w:val="decimal"/>
      <w:lvlText w:val="%1)"/>
      <w:lvlJc w:val="left"/>
      <w:pPr>
        <w:tabs>
          <w:tab w:val="num" w:pos="1080"/>
        </w:tabs>
        <w:ind w:left="1080" w:hanging="360"/>
      </w:pPr>
      <w:rPr>
        <w:rFonts w:eastAsia="Times New Roman" w:hint="default"/>
      </w:rPr>
    </w:lvl>
    <w:lvl w:ilvl="1" w:tplc="04160019">
      <w:start w:val="1"/>
      <w:numFmt w:val="lowerLetter"/>
      <w:lvlText w:val="%2."/>
      <w:lvlJc w:val="left"/>
      <w:pPr>
        <w:tabs>
          <w:tab w:val="num" w:pos="1800"/>
        </w:tabs>
        <w:ind w:left="1800" w:hanging="360"/>
      </w:pPr>
    </w:lvl>
    <w:lvl w:ilvl="2" w:tplc="0416001B">
      <w:start w:val="1"/>
      <w:numFmt w:val="lowerRoman"/>
      <w:lvlText w:val="%3."/>
      <w:lvlJc w:val="right"/>
      <w:pPr>
        <w:tabs>
          <w:tab w:val="num" w:pos="2520"/>
        </w:tabs>
        <w:ind w:left="2520" w:hanging="180"/>
      </w:pPr>
    </w:lvl>
    <w:lvl w:ilvl="3" w:tplc="0416000F">
      <w:start w:val="1"/>
      <w:numFmt w:val="decimal"/>
      <w:lvlText w:val="%4."/>
      <w:lvlJc w:val="left"/>
      <w:pPr>
        <w:tabs>
          <w:tab w:val="num" w:pos="3240"/>
        </w:tabs>
        <w:ind w:left="3240" w:hanging="360"/>
      </w:pPr>
    </w:lvl>
    <w:lvl w:ilvl="4" w:tplc="04160019">
      <w:start w:val="1"/>
      <w:numFmt w:val="lowerLetter"/>
      <w:lvlText w:val="%5."/>
      <w:lvlJc w:val="left"/>
      <w:pPr>
        <w:tabs>
          <w:tab w:val="num" w:pos="3960"/>
        </w:tabs>
        <w:ind w:left="3960" w:hanging="360"/>
      </w:pPr>
    </w:lvl>
    <w:lvl w:ilvl="5" w:tplc="0416001B">
      <w:start w:val="1"/>
      <w:numFmt w:val="lowerRoman"/>
      <w:lvlText w:val="%6."/>
      <w:lvlJc w:val="right"/>
      <w:pPr>
        <w:tabs>
          <w:tab w:val="num" w:pos="4680"/>
        </w:tabs>
        <w:ind w:left="4680" w:hanging="180"/>
      </w:pPr>
    </w:lvl>
    <w:lvl w:ilvl="6" w:tplc="0416000F">
      <w:start w:val="1"/>
      <w:numFmt w:val="decimal"/>
      <w:lvlText w:val="%7."/>
      <w:lvlJc w:val="left"/>
      <w:pPr>
        <w:tabs>
          <w:tab w:val="num" w:pos="5400"/>
        </w:tabs>
        <w:ind w:left="5400" w:hanging="360"/>
      </w:pPr>
    </w:lvl>
    <w:lvl w:ilvl="7" w:tplc="04160019">
      <w:start w:val="1"/>
      <w:numFmt w:val="lowerLetter"/>
      <w:lvlText w:val="%8."/>
      <w:lvlJc w:val="left"/>
      <w:pPr>
        <w:tabs>
          <w:tab w:val="num" w:pos="6120"/>
        </w:tabs>
        <w:ind w:left="6120" w:hanging="360"/>
      </w:pPr>
    </w:lvl>
    <w:lvl w:ilvl="8" w:tplc="0416001B">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5AE"/>
    <w:rsid w:val="00000D27"/>
    <w:rsid w:val="00012AC2"/>
    <w:rsid w:val="00026D78"/>
    <w:rsid w:val="000B24B0"/>
    <w:rsid w:val="000F7A66"/>
    <w:rsid w:val="001004B6"/>
    <w:rsid w:val="00115AEE"/>
    <w:rsid w:val="00131DA0"/>
    <w:rsid w:val="001676AE"/>
    <w:rsid w:val="00183C2C"/>
    <w:rsid w:val="0018742D"/>
    <w:rsid w:val="001B3FCF"/>
    <w:rsid w:val="001B70DE"/>
    <w:rsid w:val="001D1583"/>
    <w:rsid w:val="001D177D"/>
    <w:rsid w:val="001D7FD7"/>
    <w:rsid w:val="001E50C0"/>
    <w:rsid w:val="001F582D"/>
    <w:rsid w:val="00204701"/>
    <w:rsid w:val="00224852"/>
    <w:rsid w:val="00230F04"/>
    <w:rsid w:val="002406EB"/>
    <w:rsid w:val="00263CAB"/>
    <w:rsid w:val="00264922"/>
    <w:rsid w:val="002914CD"/>
    <w:rsid w:val="002A1DBF"/>
    <w:rsid w:val="002F4A23"/>
    <w:rsid w:val="002F70CE"/>
    <w:rsid w:val="00312187"/>
    <w:rsid w:val="00335E2C"/>
    <w:rsid w:val="0037735A"/>
    <w:rsid w:val="00377ECA"/>
    <w:rsid w:val="00390C83"/>
    <w:rsid w:val="00392085"/>
    <w:rsid w:val="003924D8"/>
    <w:rsid w:val="003C196C"/>
    <w:rsid w:val="003E01EB"/>
    <w:rsid w:val="003F3DD8"/>
    <w:rsid w:val="0040373E"/>
    <w:rsid w:val="004213F2"/>
    <w:rsid w:val="00454D62"/>
    <w:rsid w:val="00461671"/>
    <w:rsid w:val="004631C1"/>
    <w:rsid w:val="00466A9C"/>
    <w:rsid w:val="00486DB4"/>
    <w:rsid w:val="004A4C8E"/>
    <w:rsid w:val="004B74C9"/>
    <w:rsid w:val="004D5DA6"/>
    <w:rsid w:val="004E4EC7"/>
    <w:rsid w:val="004F11AD"/>
    <w:rsid w:val="004F502A"/>
    <w:rsid w:val="004F7348"/>
    <w:rsid w:val="00512357"/>
    <w:rsid w:val="00521798"/>
    <w:rsid w:val="00556B50"/>
    <w:rsid w:val="00561929"/>
    <w:rsid w:val="00577229"/>
    <w:rsid w:val="00594E03"/>
    <w:rsid w:val="005A3F8F"/>
    <w:rsid w:val="005A49F3"/>
    <w:rsid w:val="005C4E7E"/>
    <w:rsid w:val="005D7BAF"/>
    <w:rsid w:val="005F25B7"/>
    <w:rsid w:val="005F2B6C"/>
    <w:rsid w:val="005F4F8A"/>
    <w:rsid w:val="006156CE"/>
    <w:rsid w:val="006176D2"/>
    <w:rsid w:val="0062650C"/>
    <w:rsid w:val="00636B1A"/>
    <w:rsid w:val="00644984"/>
    <w:rsid w:val="00646F48"/>
    <w:rsid w:val="006479E0"/>
    <w:rsid w:val="00647ACD"/>
    <w:rsid w:val="00682376"/>
    <w:rsid w:val="006B77C7"/>
    <w:rsid w:val="006C031E"/>
    <w:rsid w:val="006D09BC"/>
    <w:rsid w:val="00704177"/>
    <w:rsid w:val="007437AF"/>
    <w:rsid w:val="0075047E"/>
    <w:rsid w:val="00762B5C"/>
    <w:rsid w:val="00777CEF"/>
    <w:rsid w:val="007821C3"/>
    <w:rsid w:val="00784603"/>
    <w:rsid w:val="007E283C"/>
    <w:rsid w:val="007E3AFA"/>
    <w:rsid w:val="007E69A9"/>
    <w:rsid w:val="007F02D7"/>
    <w:rsid w:val="00825163"/>
    <w:rsid w:val="00832B78"/>
    <w:rsid w:val="00833C6A"/>
    <w:rsid w:val="00842988"/>
    <w:rsid w:val="00886AFE"/>
    <w:rsid w:val="00891315"/>
    <w:rsid w:val="008933CD"/>
    <w:rsid w:val="008B06B3"/>
    <w:rsid w:val="008C0A65"/>
    <w:rsid w:val="008C7F11"/>
    <w:rsid w:val="008D209A"/>
    <w:rsid w:val="008E6B5A"/>
    <w:rsid w:val="0090526F"/>
    <w:rsid w:val="00906B37"/>
    <w:rsid w:val="009070F8"/>
    <w:rsid w:val="0091653A"/>
    <w:rsid w:val="00930424"/>
    <w:rsid w:val="00941B87"/>
    <w:rsid w:val="00960E93"/>
    <w:rsid w:val="009649F4"/>
    <w:rsid w:val="009A3228"/>
    <w:rsid w:val="009C7A8B"/>
    <w:rsid w:val="009D571D"/>
    <w:rsid w:val="009E6CB1"/>
    <w:rsid w:val="009F0302"/>
    <w:rsid w:val="00A000CB"/>
    <w:rsid w:val="00A3376F"/>
    <w:rsid w:val="00A77733"/>
    <w:rsid w:val="00A8467F"/>
    <w:rsid w:val="00A952DA"/>
    <w:rsid w:val="00AA74C8"/>
    <w:rsid w:val="00AF4043"/>
    <w:rsid w:val="00B046C4"/>
    <w:rsid w:val="00B140A9"/>
    <w:rsid w:val="00B40400"/>
    <w:rsid w:val="00B66AFD"/>
    <w:rsid w:val="00B72824"/>
    <w:rsid w:val="00B74301"/>
    <w:rsid w:val="00B77D29"/>
    <w:rsid w:val="00B924D0"/>
    <w:rsid w:val="00BA37C4"/>
    <w:rsid w:val="00BA41B3"/>
    <w:rsid w:val="00BC733D"/>
    <w:rsid w:val="00BF079E"/>
    <w:rsid w:val="00C12293"/>
    <w:rsid w:val="00C13565"/>
    <w:rsid w:val="00C206E1"/>
    <w:rsid w:val="00C34542"/>
    <w:rsid w:val="00C538EE"/>
    <w:rsid w:val="00CA161F"/>
    <w:rsid w:val="00CC555D"/>
    <w:rsid w:val="00CD45B5"/>
    <w:rsid w:val="00CF0A63"/>
    <w:rsid w:val="00D334F6"/>
    <w:rsid w:val="00D4036D"/>
    <w:rsid w:val="00D43B4F"/>
    <w:rsid w:val="00D50B3E"/>
    <w:rsid w:val="00D62C90"/>
    <w:rsid w:val="00D71C2D"/>
    <w:rsid w:val="00D86905"/>
    <w:rsid w:val="00D9079D"/>
    <w:rsid w:val="00DD6161"/>
    <w:rsid w:val="00DF1127"/>
    <w:rsid w:val="00DF7F31"/>
    <w:rsid w:val="00E0035A"/>
    <w:rsid w:val="00E56D37"/>
    <w:rsid w:val="00EA6CCC"/>
    <w:rsid w:val="00EA7366"/>
    <w:rsid w:val="00EB4086"/>
    <w:rsid w:val="00EC2B63"/>
    <w:rsid w:val="00F4796D"/>
    <w:rsid w:val="00F51B7C"/>
    <w:rsid w:val="00F64226"/>
    <w:rsid w:val="00F66436"/>
    <w:rsid w:val="00F90DC3"/>
    <w:rsid w:val="00F966A2"/>
    <w:rsid w:val="00FD2D36"/>
    <w:rsid w:val="00FE35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2DA95A25-61F3-7D4C-838D-5D2E26F17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76F"/>
    <w:pPr>
      <w:suppressAutoHyphens/>
    </w:pPr>
    <w:rPr>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uiPriority w:val="99"/>
    <w:rsid w:val="00A3376F"/>
  </w:style>
  <w:style w:type="character" w:customStyle="1" w:styleId="apple-converted-space">
    <w:name w:val="apple-converted-space"/>
    <w:basedOn w:val="Fontepargpadro1"/>
    <w:rsid w:val="00A3376F"/>
  </w:style>
  <w:style w:type="paragraph" w:customStyle="1" w:styleId="Ttulo1">
    <w:name w:val="Título1"/>
    <w:basedOn w:val="Normal"/>
    <w:next w:val="Corpodetexto"/>
    <w:uiPriority w:val="99"/>
    <w:rsid w:val="00A3376F"/>
    <w:pPr>
      <w:keepNext/>
      <w:spacing w:before="240" w:after="120"/>
    </w:pPr>
    <w:rPr>
      <w:rFonts w:ascii="Arial" w:hAnsi="Arial" w:cs="Arial"/>
      <w:sz w:val="28"/>
      <w:szCs w:val="28"/>
    </w:rPr>
  </w:style>
  <w:style w:type="paragraph" w:styleId="Corpodetexto">
    <w:name w:val="Body Text"/>
    <w:basedOn w:val="Normal"/>
    <w:link w:val="CorpodetextoChar"/>
    <w:rsid w:val="00A3376F"/>
    <w:pPr>
      <w:spacing w:after="120"/>
    </w:pPr>
    <w:rPr>
      <w:lang w:val="x-none"/>
    </w:rPr>
  </w:style>
  <w:style w:type="character" w:customStyle="1" w:styleId="CorpodetextoChar">
    <w:name w:val="Corpo de texto Char"/>
    <w:link w:val="Corpodetexto"/>
    <w:rsid w:val="00D02889"/>
    <w:rPr>
      <w:sz w:val="24"/>
      <w:szCs w:val="24"/>
      <w:lang w:eastAsia="ar-SA"/>
    </w:rPr>
  </w:style>
  <w:style w:type="paragraph" w:styleId="Lista">
    <w:name w:val="List"/>
    <w:basedOn w:val="Corpodetexto"/>
    <w:uiPriority w:val="99"/>
    <w:rsid w:val="00A3376F"/>
  </w:style>
  <w:style w:type="paragraph" w:customStyle="1" w:styleId="Legenda1">
    <w:name w:val="Legenda1"/>
    <w:basedOn w:val="Normal"/>
    <w:uiPriority w:val="99"/>
    <w:rsid w:val="00A3376F"/>
    <w:pPr>
      <w:suppressLineNumbers/>
      <w:spacing w:before="120" w:after="120"/>
    </w:pPr>
    <w:rPr>
      <w:i/>
      <w:iCs/>
    </w:rPr>
  </w:style>
  <w:style w:type="paragraph" w:customStyle="1" w:styleId="ndice">
    <w:name w:val="Índice"/>
    <w:basedOn w:val="Normal"/>
    <w:uiPriority w:val="99"/>
    <w:rsid w:val="00A3376F"/>
    <w:pPr>
      <w:suppressLineNumbers/>
    </w:pPr>
  </w:style>
  <w:style w:type="paragraph" w:styleId="Textodebalo">
    <w:name w:val="Balloon Text"/>
    <w:basedOn w:val="Normal"/>
    <w:link w:val="TextodebaloChar"/>
    <w:uiPriority w:val="99"/>
    <w:rsid w:val="00A3376F"/>
    <w:rPr>
      <w:sz w:val="0"/>
      <w:szCs w:val="0"/>
      <w:lang w:val="x-none"/>
    </w:rPr>
  </w:style>
  <w:style w:type="character" w:customStyle="1" w:styleId="TextodebaloChar">
    <w:name w:val="Texto de balão Char"/>
    <w:link w:val="Textodebalo"/>
    <w:uiPriority w:val="99"/>
    <w:semiHidden/>
    <w:rsid w:val="00D02889"/>
    <w:rPr>
      <w:sz w:val="0"/>
      <w:szCs w:val="0"/>
      <w:lang w:eastAsia="ar-SA"/>
    </w:rPr>
  </w:style>
  <w:style w:type="paragraph" w:styleId="Cabealho">
    <w:name w:val="header"/>
    <w:basedOn w:val="Normal"/>
    <w:link w:val="CabealhoChar"/>
    <w:uiPriority w:val="99"/>
    <w:rsid w:val="00FE35AE"/>
    <w:pPr>
      <w:tabs>
        <w:tab w:val="center" w:pos="4252"/>
        <w:tab w:val="right" w:pos="8504"/>
      </w:tabs>
    </w:pPr>
    <w:rPr>
      <w:lang w:val="x-none"/>
    </w:rPr>
  </w:style>
  <w:style w:type="character" w:customStyle="1" w:styleId="HeaderChar">
    <w:name w:val="Header Char"/>
    <w:uiPriority w:val="99"/>
    <w:semiHidden/>
    <w:rsid w:val="00D02889"/>
    <w:rPr>
      <w:sz w:val="24"/>
      <w:szCs w:val="24"/>
      <w:lang w:eastAsia="ar-SA"/>
    </w:rPr>
  </w:style>
  <w:style w:type="character" w:customStyle="1" w:styleId="CabealhoChar">
    <w:name w:val="Cabeçalho Char"/>
    <w:link w:val="Cabealho"/>
    <w:uiPriority w:val="99"/>
    <w:locked/>
    <w:rsid w:val="00FE35AE"/>
    <w:rPr>
      <w:sz w:val="24"/>
      <w:szCs w:val="24"/>
      <w:lang w:eastAsia="ar-SA" w:bidi="ar-SA"/>
    </w:rPr>
  </w:style>
  <w:style w:type="paragraph" w:customStyle="1" w:styleId="listparagraph">
    <w:name w:val="listparagraph"/>
    <w:basedOn w:val="Normal"/>
    <w:uiPriority w:val="99"/>
    <w:rsid w:val="00000D27"/>
    <w:pPr>
      <w:suppressAutoHyphens w:val="0"/>
      <w:spacing w:before="100" w:beforeAutospacing="1" w:after="100" w:afterAutospacing="1"/>
    </w:pPr>
    <w:rPr>
      <w:lang w:eastAsia="pt-BR"/>
    </w:rPr>
  </w:style>
  <w:style w:type="paragraph" w:styleId="NormalWeb">
    <w:name w:val="Normal (Web)"/>
    <w:basedOn w:val="Normal"/>
    <w:uiPriority w:val="99"/>
    <w:rsid w:val="00000D27"/>
    <w:pPr>
      <w:suppressAutoHyphens w:val="0"/>
      <w:spacing w:before="100" w:beforeAutospacing="1" w:after="100" w:afterAutospacing="1"/>
    </w:pPr>
    <w:rPr>
      <w:lang w:eastAsia="pt-BR"/>
    </w:rPr>
  </w:style>
  <w:style w:type="paragraph" w:customStyle="1" w:styleId="western">
    <w:name w:val="western"/>
    <w:basedOn w:val="Normal"/>
    <w:rsid w:val="009A3228"/>
    <w:pPr>
      <w:suppressAutoHyphens w:val="0"/>
      <w:spacing w:before="100" w:beforeAutospacing="1" w:after="119"/>
    </w:pPr>
    <w:rPr>
      <w:lang w:eastAsia="pt-BR"/>
    </w:rPr>
  </w:style>
  <w:style w:type="character" w:styleId="Hyperlink">
    <w:name w:val="Hyperlink"/>
    <w:uiPriority w:val="99"/>
    <w:unhideWhenUsed/>
    <w:rsid w:val="005C4E7E"/>
    <w:rPr>
      <w:color w:val="0000FF"/>
      <w:u w:val="single"/>
    </w:rPr>
  </w:style>
  <w:style w:type="character" w:styleId="HiperlinkVisitado">
    <w:name w:val="FollowedHyperlink"/>
    <w:uiPriority w:val="99"/>
    <w:semiHidden/>
    <w:unhideWhenUsed/>
    <w:rsid w:val="00AF4043"/>
    <w:rPr>
      <w:color w:val="800080"/>
      <w:u w:val="single"/>
    </w:rPr>
  </w:style>
  <w:style w:type="table" w:styleId="Tabelacomgrade">
    <w:name w:val="Table Grid"/>
    <w:basedOn w:val="Tabelanormal"/>
    <w:uiPriority w:val="59"/>
    <w:rsid w:val="00832B7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rtigo">
    <w:name w:val="artigo"/>
    <w:basedOn w:val="Normal"/>
    <w:rsid w:val="008B06B3"/>
    <w:pPr>
      <w:suppressAutoHyphens w:val="0"/>
      <w:spacing w:before="100" w:beforeAutospacing="1" w:after="100" w:afterAutospacing="1"/>
    </w:pPr>
    <w:rPr>
      <w:lang w:eastAsia="pt-BR"/>
    </w:rPr>
  </w:style>
  <w:style w:type="paragraph" w:styleId="Rodap">
    <w:name w:val="footer"/>
    <w:basedOn w:val="Normal"/>
    <w:link w:val="RodapChar"/>
    <w:uiPriority w:val="99"/>
    <w:unhideWhenUsed/>
    <w:rsid w:val="00392085"/>
    <w:pPr>
      <w:tabs>
        <w:tab w:val="center" w:pos="4252"/>
        <w:tab w:val="right" w:pos="8504"/>
      </w:tabs>
    </w:pPr>
    <w:rPr>
      <w:lang w:val="x-none"/>
    </w:rPr>
  </w:style>
  <w:style w:type="character" w:customStyle="1" w:styleId="RodapChar">
    <w:name w:val="Rodapé Char"/>
    <w:link w:val="Rodap"/>
    <w:uiPriority w:val="99"/>
    <w:rsid w:val="00392085"/>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5910">
      <w:bodyDiv w:val="1"/>
      <w:marLeft w:val="0"/>
      <w:marRight w:val="0"/>
      <w:marTop w:val="0"/>
      <w:marBottom w:val="0"/>
      <w:divBdr>
        <w:top w:val="none" w:sz="0" w:space="0" w:color="auto"/>
        <w:left w:val="none" w:sz="0" w:space="0" w:color="auto"/>
        <w:bottom w:val="none" w:sz="0" w:space="0" w:color="auto"/>
        <w:right w:val="none" w:sz="0" w:space="0" w:color="auto"/>
      </w:divBdr>
    </w:div>
    <w:div w:id="74281300">
      <w:bodyDiv w:val="1"/>
      <w:marLeft w:val="0"/>
      <w:marRight w:val="0"/>
      <w:marTop w:val="0"/>
      <w:marBottom w:val="0"/>
      <w:divBdr>
        <w:top w:val="none" w:sz="0" w:space="0" w:color="auto"/>
        <w:left w:val="none" w:sz="0" w:space="0" w:color="auto"/>
        <w:bottom w:val="none" w:sz="0" w:space="0" w:color="auto"/>
        <w:right w:val="none" w:sz="0" w:space="0" w:color="auto"/>
      </w:divBdr>
      <w:divsChild>
        <w:div w:id="208999706">
          <w:marLeft w:val="0"/>
          <w:marRight w:val="0"/>
          <w:marTop w:val="0"/>
          <w:marBottom w:val="0"/>
          <w:divBdr>
            <w:top w:val="none" w:sz="0" w:space="0" w:color="auto"/>
            <w:left w:val="none" w:sz="0" w:space="0" w:color="auto"/>
            <w:bottom w:val="none" w:sz="0" w:space="0" w:color="auto"/>
            <w:right w:val="none" w:sz="0" w:space="0" w:color="auto"/>
          </w:divBdr>
        </w:div>
        <w:div w:id="1361278868">
          <w:marLeft w:val="0"/>
          <w:marRight w:val="0"/>
          <w:marTop w:val="0"/>
          <w:marBottom w:val="0"/>
          <w:divBdr>
            <w:top w:val="none" w:sz="0" w:space="0" w:color="auto"/>
            <w:left w:val="none" w:sz="0" w:space="0" w:color="auto"/>
            <w:bottom w:val="none" w:sz="0" w:space="0" w:color="auto"/>
            <w:right w:val="none" w:sz="0" w:space="0" w:color="auto"/>
          </w:divBdr>
        </w:div>
      </w:divsChild>
    </w:div>
    <w:div w:id="265698294">
      <w:bodyDiv w:val="1"/>
      <w:marLeft w:val="0"/>
      <w:marRight w:val="0"/>
      <w:marTop w:val="0"/>
      <w:marBottom w:val="0"/>
      <w:divBdr>
        <w:top w:val="none" w:sz="0" w:space="0" w:color="auto"/>
        <w:left w:val="none" w:sz="0" w:space="0" w:color="auto"/>
        <w:bottom w:val="none" w:sz="0" w:space="0" w:color="auto"/>
        <w:right w:val="none" w:sz="0" w:space="0" w:color="auto"/>
      </w:divBdr>
    </w:div>
    <w:div w:id="846217060">
      <w:bodyDiv w:val="1"/>
      <w:marLeft w:val="0"/>
      <w:marRight w:val="0"/>
      <w:marTop w:val="0"/>
      <w:marBottom w:val="0"/>
      <w:divBdr>
        <w:top w:val="none" w:sz="0" w:space="0" w:color="auto"/>
        <w:left w:val="none" w:sz="0" w:space="0" w:color="auto"/>
        <w:bottom w:val="none" w:sz="0" w:space="0" w:color="auto"/>
        <w:right w:val="none" w:sz="0" w:space="0" w:color="auto"/>
      </w:divBdr>
      <w:divsChild>
        <w:div w:id="1537617723">
          <w:marLeft w:val="0"/>
          <w:marRight w:val="0"/>
          <w:marTop w:val="0"/>
          <w:marBottom w:val="0"/>
          <w:divBdr>
            <w:top w:val="none" w:sz="0" w:space="0" w:color="auto"/>
            <w:left w:val="none" w:sz="0" w:space="0" w:color="auto"/>
            <w:bottom w:val="none" w:sz="0" w:space="0" w:color="auto"/>
            <w:right w:val="none" w:sz="0" w:space="0" w:color="auto"/>
          </w:divBdr>
          <w:divsChild>
            <w:div w:id="1850564537">
              <w:marLeft w:val="0"/>
              <w:marRight w:val="0"/>
              <w:marTop w:val="0"/>
              <w:marBottom w:val="0"/>
              <w:divBdr>
                <w:top w:val="none" w:sz="0" w:space="0" w:color="auto"/>
                <w:left w:val="none" w:sz="0" w:space="0" w:color="auto"/>
                <w:bottom w:val="none" w:sz="0" w:space="0" w:color="auto"/>
                <w:right w:val="none" w:sz="0" w:space="0" w:color="auto"/>
              </w:divBdr>
              <w:divsChild>
                <w:div w:id="2043747423">
                  <w:marLeft w:val="0"/>
                  <w:marRight w:val="0"/>
                  <w:marTop w:val="0"/>
                  <w:marBottom w:val="0"/>
                  <w:divBdr>
                    <w:top w:val="none" w:sz="0" w:space="0" w:color="auto"/>
                    <w:left w:val="none" w:sz="0" w:space="0" w:color="auto"/>
                    <w:bottom w:val="none" w:sz="0" w:space="0" w:color="auto"/>
                    <w:right w:val="none" w:sz="0" w:space="0" w:color="auto"/>
                  </w:divBdr>
                  <w:divsChild>
                    <w:div w:id="360205711">
                      <w:marLeft w:val="0"/>
                      <w:marRight w:val="0"/>
                      <w:marTop w:val="0"/>
                      <w:marBottom w:val="0"/>
                      <w:divBdr>
                        <w:top w:val="none" w:sz="0" w:space="0" w:color="auto"/>
                        <w:left w:val="none" w:sz="0" w:space="0" w:color="auto"/>
                        <w:bottom w:val="none" w:sz="0" w:space="0" w:color="auto"/>
                        <w:right w:val="none" w:sz="0" w:space="0" w:color="auto"/>
                      </w:divBdr>
                      <w:divsChild>
                        <w:div w:id="146755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299530">
      <w:bodyDiv w:val="1"/>
      <w:marLeft w:val="0"/>
      <w:marRight w:val="0"/>
      <w:marTop w:val="0"/>
      <w:marBottom w:val="0"/>
      <w:divBdr>
        <w:top w:val="none" w:sz="0" w:space="0" w:color="auto"/>
        <w:left w:val="none" w:sz="0" w:space="0" w:color="auto"/>
        <w:bottom w:val="none" w:sz="0" w:space="0" w:color="auto"/>
        <w:right w:val="none" w:sz="0" w:space="0" w:color="auto"/>
      </w:divBdr>
      <w:divsChild>
        <w:div w:id="1156802516">
          <w:marLeft w:val="0"/>
          <w:marRight w:val="0"/>
          <w:marTop w:val="0"/>
          <w:marBottom w:val="0"/>
          <w:divBdr>
            <w:top w:val="none" w:sz="0" w:space="0" w:color="auto"/>
            <w:left w:val="none" w:sz="0" w:space="0" w:color="auto"/>
            <w:bottom w:val="none" w:sz="0" w:space="0" w:color="auto"/>
            <w:right w:val="none" w:sz="0" w:space="0" w:color="auto"/>
          </w:divBdr>
          <w:divsChild>
            <w:div w:id="1943145595">
              <w:marLeft w:val="0"/>
              <w:marRight w:val="0"/>
              <w:marTop w:val="0"/>
              <w:marBottom w:val="0"/>
              <w:divBdr>
                <w:top w:val="none" w:sz="0" w:space="0" w:color="auto"/>
                <w:left w:val="none" w:sz="0" w:space="0" w:color="auto"/>
                <w:bottom w:val="none" w:sz="0" w:space="0" w:color="auto"/>
                <w:right w:val="none" w:sz="0" w:space="0" w:color="auto"/>
              </w:divBdr>
              <w:divsChild>
                <w:div w:id="1075468154">
                  <w:marLeft w:val="0"/>
                  <w:marRight w:val="0"/>
                  <w:marTop w:val="0"/>
                  <w:marBottom w:val="0"/>
                  <w:divBdr>
                    <w:top w:val="none" w:sz="0" w:space="0" w:color="auto"/>
                    <w:left w:val="none" w:sz="0" w:space="0" w:color="auto"/>
                    <w:bottom w:val="none" w:sz="0" w:space="0" w:color="auto"/>
                    <w:right w:val="none" w:sz="0" w:space="0" w:color="auto"/>
                  </w:divBdr>
                  <w:divsChild>
                    <w:div w:id="568687156">
                      <w:marLeft w:val="0"/>
                      <w:marRight w:val="0"/>
                      <w:marTop w:val="0"/>
                      <w:marBottom w:val="0"/>
                      <w:divBdr>
                        <w:top w:val="none" w:sz="0" w:space="0" w:color="auto"/>
                        <w:left w:val="none" w:sz="0" w:space="0" w:color="auto"/>
                        <w:bottom w:val="none" w:sz="0" w:space="0" w:color="auto"/>
                        <w:right w:val="none" w:sz="0" w:space="0" w:color="auto"/>
                      </w:divBdr>
                      <w:divsChild>
                        <w:div w:id="26130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595466">
      <w:marLeft w:val="0"/>
      <w:marRight w:val="0"/>
      <w:marTop w:val="0"/>
      <w:marBottom w:val="0"/>
      <w:divBdr>
        <w:top w:val="none" w:sz="0" w:space="0" w:color="auto"/>
        <w:left w:val="none" w:sz="0" w:space="0" w:color="auto"/>
        <w:bottom w:val="none" w:sz="0" w:space="0" w:color="auto"/>
        <w:right w:val="none" w:sz="0" w:space="0" w:color="auto"/>
      </w:divBdr>
    </w:div>
    <w:div w:id="1599678185">
      <w:bodyDiv w:val="1"/>
      <w:marLeft w:val="0"/>
      <w:marRight w:val="0"/>
      <w:marTop w:val="0"/>
      <w:marBottom w:val="0"/>
      <w:divBdr>
        <w:top w:val="none" w:sz="0" w:space="0" w:color="auto"/>
        <w:left w:val="none" w:sz="0" w:space="0" w:color="auto"/>
        <w:bottom w:val="none" w:sz="0" w:space="0" w:color="auto"/>
        <w:right w:val="none" w:sz="0" w:space="0" w:color="auto"/>
      </w:divBdr>
      <w:divsChild>
        <w:div w:id="140318094">
          <w:marLeft w:val="0"/>
          <w:marRight w:val="0"/>
          <w:marTop w:val="0"/>
          <w:marBottom w:val="0"/>
          <w:divBdr>
            <w:top w:val="none" w:sz="0" w:space="0" w:color="auto"/>
            <w:left w:val="none" w:sz="0" w:space="0" w:color="auto"/>
            <w:bottom w:val="none" w:sz="0" w:space="0" w:color="auto"/>
            <w:right w:val="none" w:sz="0" w:space="0" w:color="auto"/>
          </w:divBdr>
        </w:div>
        <w:div w:id="1919560282">
          <w:marLeft w:val="0"/>
          <w:marRight w:val="0"/>
          <w:marTop w:val="0"/>
          <w:marBottom w:val="0"/>
          <w:divBdr>
            <w:top w:val="none" w:sz="0" w:space="0" w:color="auto"/>
            <w:left w:val="none" w:sz="0" w:space="0" w:color="auto"/>
            <w:bottom w:val="none" w:sz="0" w:space="0" w:color="auto"/>
            <w:right w:val="none" w:sz="0" w:space="0" w:color="auto"/>
          </w:divBdr>
        </w:div>
      </w:divsChild>
    </w:div>
    <w:div w:id="1902010976">
      <w:bodyDiv w:val="1"/>
      <w:marLeft w:val="0"/>
      <w:marRight w:val="0"/>
      <w:marTop w:val="0"/>
      <w:marBottom w:val="0"/>
      <w:divBdr>
        <w:top w:val="none" w:sz="0" w:space="0" w:color="auto"/>
        <w:left w:val="none" w:sz="0" w:space="0" w:color="auto"/>
        <w:bottom w:val="none" w:sz="0" w:space="0" w:color="auto"/>
        <w:right w:val="none" w:sz="0" w:space="0" w:color="auto"/>
      </w:divBdr>
    </w:div>
    <w:div w:id="213059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BEBD53-873B-4C2E-9C92-09AC1B6CB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530</Words>
  <Characters>2866</Characters>
  <Application>Microsoft Office Word</Application>
  <DocSecurity>0</DocSecurity>
  <Lines>23</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Requer Audiência Pública sobre o aumento das tarifas da CCR Barcas</vt:lpstr>
      <vt:lpstr>Requer Audiência Pública sobre o aumento das tarifas da CCR Barcas</vt:lpstr>
    </vt:vector>
  </TitlesOfParts>
  <Company/>
  <LinksUpToDate>false</LinksUpToDate>
  <CharactersWithSpaces>3390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Requer Audiência Pública sobre o aumento das tarifas da CCR Barcas</dc:title>
  <dc:subject/>
  <dc:creator>vereador blessa</dc:creator>
  <cp:keywords/>
  <cp:lastModifiedBy>ver Fenix</cp:lastModifiedBy>
  <cp:revision>2</cp:revision>
  <cp:lastPrinted>2018-02-01T20:39:00Z</cp:lastPrinted>
  <dcterms:created xsi:type="dcterms:W3CDTF">2024-02-23T20:51:00Z</dcterms:created>
  <dcterms:modified xsi:type="dcterms:W3CDTF">2024-02-23T20:51:00Z</dcterms:modified>
</cp:coreProperties>
</file>