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2DD7" w:rsidRDefault="00DE2DD7" w:rsidP="00D43A2F">
      <w:pPr>
        <w:pStyle w:val="Ttulo1"/>
        <w:tabs>
          <w:tab w:val="left" w:pos="1133"/>
          <w:tab w:val="center" w:pos="4818"/>
          <w:tab w:val="left" w:pos="11196"/>
        </w:tabs>
        <w:ind w:left="0"/>
        <w:jc w:val="left"/>
        <w:rPr>
          <w:rFonts w:ascii="Tahoma" w:eastAsia="Tahoma" w:hAnsi="Tahoma" w:cs="Tahoma"/>
          <w:b/>
        </w:rPr>
      </w:pPr>
    </w:p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</w:t>
      </w:r>
      <w:r w:rsidR="00805CD0">
        <w:rPr>
          <w:rFonts w:ascii="Tahoma" w:eastAsia="Tahoma" w:hAnsi="Tahoma" w:cs="Tahoma"/>
          <w:b/>
          <w:sz w:val="22"/>
          <w:szCs w:val="22"/>
        </w:rPr>
        <w:t xml:space="preserve"> Art. </w:t>
      </w:r>
      <w:r w:rsidR="002731C9">
        <w:rPr>
          <w:rFonts w:ascii="Tahoma" w:eastAsia="Tahoma" w:hAnsi="Tahoma" w:cs="Tahoma"/>
          <w:b/>
          <w:sz w:val="22"/>
          <w:szCs w:val="22"/>
        </w:rPr>
        <w:t>69</w:t>
      </w:r>
      <w:r w:rsidR="00805CD0">
        <w:rPr>
          <w:rFonts w:ascii="Tahoma" w:eastAsia="Tahoma" w:hAnsi="Tahoma" w:cs="Tahoma"/>
          <w:b/>
          <w:sz w:val="22"/>
          <w:szCs w:val="22"/>
        </w:rPr>
        <w:t xml:space="preserve"> e o Quadro </w:t>
      </w:r>
      <w:r w:rsidR="002731C9">
        <w:rPr>
          <w:rFonts w:ascii="Tahoma" w:eastAsia="Tahoma" w:hAnsi="Tahoma" w:cs="Tahoma"/>
          <w:b/>
          <w:sz w:val="22"/>
          <w:szCs w:val="22"/>
        </w:rPr>
        <w:t>V</w:t>
      </w:r>
      <w:r w:rsidR="00805CD0">
        <w:rPr>
          <w:rFonts w:ascii="Tahoma" w:eastAsia="Tahoma" w:hAnsi="Tahoma" w:cs="Tahoma"/>
          <w:b/>
          <w:sz w:val="22"/>
          <w:szCs w:val="22"/>
        </w:rPr>
        <w:t>I do anexo</w:t>
      </w:r>
      <w:r w:rsidR="0014089D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090A10">
        <w:rPr>
          <w:rFonts w:ascii="Tahoma" w:eastAsia="Tahoma" w:hAnsi="Tahoma" w:cs="Tahoma"/>
          <w:b/>
          <w:sz w:val="22"/>
          <w:szCs w:val="22"/>
        </w:rPr>
        <w:t xml:space="preserve">Art. </w:t>
      </w:r>
      <w:r w:rsidR="002731C9">
        <w:rPr>
          <w:rFonts w:ascii="Tahoma" w:eastAsia="Tahoma" w:hAnsi="Tahoma" w:cs="Tahoma"/>
          <w:b/>
          <w:sz w:val="22"/>
          <w:szCs w:val="22"/>
        </w:rPr>
        <w:t>69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r w:rsidR="00090A10">
        <w:rPr>
          <w:rFonts w:ascii="Tahoma" w:eastAsia="Tahoma" w:hAnsi="Tahoma" w:cs="Tahoma"/>
          <w:sz w:val="22"/>
          <w:szCs w:val="22"/>
        </w:rPr>
        <w:t>que passa a constar com a seguinte redação</w:t>
      </w:r>
      <w:r w:rsidR="00E40628">
        <w:rPr>
          <w:rFonts w:ascii="Tahoma" w:eastAsia="Tahoma" w:hAnsi="Tahoma" w:cs="Tahoma"/>
          <w:sz w:val="22"/>
          <w:szCs w:val="22"/>
        </w:rPr>
        <w:t>:</w:t>
      </w:r>
    </w:p>
    <w:p w:rsidR="00090A10" w:rsidRDefault="00090A10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5080C" w:rsidRDefault="00090A10" w:rsidP="00493869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“Art. </w:t>
      </w:r>
      <w:r w:rsidR="00493869">
        <w:rPr>
          <w:rFonts w:ascii="Tahoma" w:eastAsia="Tahoma" w:hAnsi="Tahoma" w:cs="Tahoma"/>
          <w:sz w:val="22"/>
          <w:szCs w:val="22"/>
        </w:rPr>
        <w:t>69</w:t>
      </w:r>
      <w:r>
        <w:rPr>
          <w:rFonts w:ascii="Tahoma" w:eastAsia="Tahoma" w:hAnsi="Tahoma" w:cs="Tahoma"/>
          <w:sz w:val="22"/>
          <w:szCs w:val="22"/>
        </w:rPr>
        <w:t xml:space="preserve">. </w:t>
      </w:r>
      <w:r w:rsidR="00493869" w:rsidRPr="00493869">
        <w:rPr>
          <w:rFonts w:ascii="Tahoma" w:eastAsia="Tahoma" w:hAnsi="Tahoma" w:cs="Tahoma"/>
          <w:sz w:val="22"/>
          <w:szCs w:val="22"/>
        </w:rPr>
        <w:t xml:space="preserve">A quantidade mínima de vagas de estacionamento de </w:t>
      </w:r>
      <w:proofErr w:type="spellStart"/>
      <w:r w:rsidR="00493869" w:rsidRPr="00493869">
        <w:rPr>
          <w:rFonts w:ascii="Tahoma" w:eastAsia="Tahoma" w:hAnsi="Tahoma" w:cs="Tahoma"/>
          <w:sz w:val="22"/>
          <w:szCs w:val="22"/>
        </w:rPr>
        <w:t>veículosindividuais</w:t>
      </w:r>
      <w:proofErr w:type="spellEnd"/>
      <w:r w:rsidR="00493869" w:rsidRPr="00493869">
        <w:rPr>
          <w:rFonts w:ascii="Tahoma" w:eastAsia="Tahoma" w:hAnsi="Tahoma" w:cs="Tahoma"/>
          <w:sz w:val="22"/>
          <w:szCs w:val="22"/>
        </w:rPr>
        <w:t xml:space="preserve"> motorizados define-se de acordo com o Quadro VI desta </w:t>
      </w:r>
      <w:proofErr w:type="spellStart"/>
      <w:proofErr w:type="gramStart"/>
      <w:r w:rsidR="00493869" w:rsidRPr="00493869">
        <w:rPr>
          <w:rFonts w:ascii="Tahoma" w:eastAsia="Tahoma" w:hAnsi="Tahoma" w:cs="Tahoma"/>
          <w:sz w:val="22"/>
          <w:szCs w:val="22"/>
        </w:rPr>
        <w:t>LeiUrbanística</w:t>
      </w:r>
      <w:proofErr w:type="spellEnd"/>
      <w:proofErr w:type="gramEnd"/>
      <w:r w:rsidR="00493869" w:rsidRPr="00493869">
        <w:rPr>
          <w:rFonts w:ascii="Tahoma" w:eastAsia="Tahoma" w:hAnsi="Tahoma" w:cs="Tahoma"/>
          <w:sz w:val="22"/>
          <w:szCs w:val="22"/>
        </w:rPr>
        <w:t>.</w:t>
      </w:r>
    </w:p>
    <w:p w:rsidR="00493869" w:rsidRDefault="00493869" w:rsidP="00493869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2434AF" w:rsidRDefault="00493869" w:rsidP="00493869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§11°. </w:t>
      </w:r>
      <w:r w:rsidR="006672D9">
        <w:rPr>
          <w:rFonts w:ascii="Tahoma" w:eastAsia="Tahoma" w:hAnsi="Tahoma" w:cs="Tahoma"/>
          <w:sz w:val="22"/>
          <w:szCs w:val="22"/>
        </w:rPr>
        <w:t>Nas Zonas de Uso que compõem os Territórios de Estruturação (ZCM, ZEU e ZC) e nas Zonas de Uso que compõem os Territórios de Qualificação (ZUM, ZRM, ZRA, ZDE, ZCL) que distem até 500m de vias de eixo de estruturação viária, torna-se opcional a oferta de vagas de estacionamento</w:t>
      </w:r>
      <w:r w:rsidR="002434AF">
        <w:rPr>
          <w:rFonts w:ascii="Tahoma" w:eastAsia="Tahoma" w:hAnsi="Tahoma" w:cs="Tahoma"/>
          <w:sz w:val="22"/>
          <w:szCs w:val="22"/>
        </w:rPr>
        <w:t xml:space="preserve"> para veículos automotores</w:t>
      </w:r>
      <w:r w:rsidR="006672D9">
        <w:rPr>
          <w:rFonts w:ascii="Tahoma" w:eastAsia="Tahoma" w:hAnsi="Tahoma" w:cs="Tahoma"/>
          <w:sz w:val="22"/>
          <w:szCs w:val="22"/>
        </w:rPr>
        <w:t xml:space="preserve"> em edificações de uso residencial desde que a oferta de vagas de bicicleta perfaça um mínimo de </w:t>
      </w:r>
      <w:r w:rsidR="002434AF">
        <w:rPr>
          <w:rFonts w:ascii="Tahoma" w:eastAsia="Tahoma" w:hAnsi="Tahoma" w:cs="Tahoma"/>
          <w:sz w:val="22"/>
          <w:szCs w:val="22"/>
        </w:rPr>
        <w:t>03 vagas por unidade habitacional</w:t>
      </w:r>
    </w:p>
    <w:p w:rsidR="00F351E5" w:rsidRPr="00F351E5" w:rsidRDefault="002434AF" w:rsidP="00F351E5">
      <w:pPr>
        <w:spacing w:line="360" w:lineRule="auto"/>
        <w:ind w:left="141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§12. </w:t>
      </w:r>
      <w:r w:rsidR="00F351E5" w:rsidRPr="00F351E5">
        <w:rPr>
          <w:rFonts w:ascii="Tahoma" w:eastAsia="Tahoma" w:hAnsi="Tahoma" w:cs="Tahoma"/>
          <w:sz w:val="22"/>
          <w:szCs w:val="22"/>
        </w:rPr>
        <w:t xml:space="preserve">As edificações residenciais </w:t>
      </w:r>
      <w:proofErr w:type="spellStart"/>
      <w:r w:rsidR="00F351E5" w:rsidRPr="00F351E5">
        <w:rPr>
          <w:rFonts w:ascii="Tahoma" w:eastAsia="Tahoma" w:hAnsi="Tahoma" w:cs="Tahoma"/>
          <w:sz w:val="22"/>
          <w:szCs w:val="22"/>
        </w:rPr>
        <w:t>multifamiliares</w:t>
      </w:r>
      <w:proofErr w:type="spellEnd"/>
      <w:r w:rsidR="00F351E5" w:rsidRPr="00F351E5">
        <w:rPr>
          <w:rFonts w:ascii="Tahoma" w:eastAsia="Tahoma" w:hAnsi="Tahoma" w:cs="Tahoma"/>
          <w:sz w:val="22"/>
          <w:szCs w:val="22"/>
        </w:rPr>
        <w:t xml:space="preserve">, comerciais e industriais deverão prever ponto de recarga para abastecimento de </w:t>
      </w:r>
      <w:r w:rsidR="00F351E5">
        <w:rPr>
          <w:rFonts w:ascii="Tahoma" w:eastAsia="Tahoma" w:hAnsi="Tahoma" w:cs="Tahoma"/>
          <w:sz w:val="22"/>
          <w:szCs w:val="22"/>
        </w:rPr>
        <w:t>cada tipo de veículo (automóveis, motocicletas e bicicletas)</w:t>
      </w:r>
      <w:r w:rsidR="00F351E5" w:rsidRPr="00F351E5">
        <w:rPr>
          <w:rFonts w:ascii="Tahoma" w:eastAsia="Tahoma" w:hAnsi="Tahoma" w:cs="Tahoma"/>
          <w:sz w:val="22"/>
          <w:szCs w:val="22"/>
        </w:rPr>
        <w:t xml:space="preserve"> movidos a energia elétrica nos seguintes parâmetros:</w:t>
      </w:r>
    </w:p>
    <w:p w:rsidR="00F351E5" w:rsidRPr="00F351E5" w:rsidRDefault="00F351E5" w:rsidP="00935DE3">
      <w:pPr>
        <w:spacing w:line="360" w:lineRule="auto"/>
        <w:ind w:left="1985"/>
        <w:jc w:val="both"/>
        <w:rPr>
          <w:rFonts w:ascii="Tahoma" w:eastAsia="Tahoma" w:hAnsi="Tahoma" w:cs="Tahoma"/>
          <w:sz w:val="22"/>
          <w:szCs w:val="22"/>
        </w:rPr>
      </w:pPr>
      <w:r w:rsidRPr="00F351E5">
        <w:rPr>
          <w:rFonts w:ascii="Tahoma" w:eastAsia="Tahoma" w:hAnsi="Tahoma" w:cs="Tahoma"/>
          <w:sz w:val="22"/>
          <w:szCs w:val="22"/>
        </w:rPr>
        <w:t xml:space="preserve">I - nas novas edificações residenciais </w:t>
      </w:r>
      <w:proofErr w:type="spellStart"/>
      <w:r w:rsidRPr="00F351E5">
        <w:rPr>
          <w:rFonts w:ascii="Tahoma" w:eastAsia="Tahoma" w:hAnsi="Tahoma" w:cs="Tahoma"/>
          <w:sz w:val="22"/>
          <w:szCs w:val="22"/>
        </w:rPr>
        <w:t>multifamiliares</w:t>
      </w:r>
      <w:proofErr w:type="spellEnd"/>
      <w:r w:rsidRPr="00F351E5">
        <w:rPr>
          <w:rFonts w:ascii="Tahoma" w:eastAsia="Tahoma" w:hAnsi="Tahoma" w:cs="Tahoma"/>
          <w:sz w:val="22"/>
          <w:szCs w:val="22"/>
        </w:rPr>
        <w:t xml:space="preserve">, haverá uma vaga com ponto de recarga para abastecimento de veículos movidos à energia elétrica com medição individual de consumo obrigatória, além de um ponto extra de recarga para cada </w:t>
      </w:r>
      <w:r w:rsidRPr="00F351E5">
        <w:rPr>
          <w:rFonts w:ascii="Tahoma" w:eastAsia="Tahoma" w:hAnsi="Tahoma" w:cs="Tahoma"/>
          <w:sz w:val="22"/>
          <w:szCs w:val="22"/>
        </w:rPr>
        <w:lastRenderedPageBreak/>
        <w:t>quarenta vagas de garagem, excluindo-se os empreendimentos resultantes de programas habitacionais públicos;</w:t>
      </w:r>
    </w:p>
    <w:p w:rsidR="00F351E5" w:rsidRPr="00F351E5" w:rsidRDefault="00F351E5" w:rsidP="00935DE3">
      <w:pPr>
        <w:spacing w:line="360" w:lineRule="auto"/>
        <w:ind w:left="1985"/>
        <w:jc w:val="both"/>
        <w:rPr>
          <w:rFonts w:ascii="Tahoma" w:eastAsia="Tahoma" w:hAnsi="Tahoma" w:cs="Tahoma"/>
          <w:sz w:val="22"/>
          <w:szCs w:val="22"/>
        </w:rPr>
      </w:pPr>
      <w:r w:rsidRPr="00F351E5">
        <w:rPr>
          <w:rFonts w:ascii="Tahoma" w:eastAsia="Tahoma" w:hAnsi="Tahoma" w:cs="Tahoma"/>
          <w:sz w:val="22"/>
          <w:szCs w:val="22"/>
        </w:rPr>
        <w:t>II - nas novas edificações comerciais, haverá uma vaga com ponto de recarga para abastecimento de veículos movidos a energia elétrica com medição individual de consumo obrigatória, além de um ponto extra de recarga para cada cinquenta vagas de estacion</w:t>
      </w:r>
      <w:r>
        <w:rPr>
          <w:rFonts w:ascii="Tahoma" w:eastAsia="Tahoma" w:hAnsi="Tahoma" w:cs="Tahoma"/>
          <w:sz w:val="22"/>
          <w:szCs w:val="22"/>
        </w:rPr>
        <w:t>amento;</w:t>
      </w:r>
    </w:p>
    <w:p w:rsidR="00F351E5" w:rsidRPr="00F351E5" w:rsidRDefault="00F351E5" w:rsidP="00935DE3">
      <w:pPr>
        <w:spacing w:line="360" w:lineRule="auto"/>
        <w:ind w:left="1985"/>
        <w:jc w:val="both"/>
        <w:rPr>
          <w:rFonts w:ascii="Tahoma" w:eastAsia="Tahoma" w:hAnsi="Tahoma" w:cs="Tahoma"/>
          <w:sz w:val="22"/>
          <w:szCs w:val="22"/>
        </w:rPr>
      </w:pPr>
      <w:r w:rsidRPr="00F351E5">
        <w:rPr>
          <w:rFonts w:ascii="Tahoma" w:eastAsia="Tahoma" w:hAnsi="Tahoma" w:cs="Tahoma"/>
          <w:sz w:val="22"/>
          <w:szCs w:val="22"/>
        </w:rPr>
        <w:t>III - nas novas edificações industriais, haverá uma vaga com ponto de recarga para abastecimento de veículos movidos a energia elétrica com medição individual de consumo obrigatória, além de um ponto de recarga extra para cada cinquenta vagas de</w:t>
      </w:r>
      <w:r>
        <w:rPr>
          <w:rFonts w:ascii="Tahoma" w:eastAsia="Tahoma" w:hAnsi="Tahoma" w:cs="Tahoma"/>
          <w:sz w:val="22"/>
          <w:szCs w:val="22"/>
        </w:rPr>
        <w:t xml:space="preserve"> estacionamento;</w:t>
      </w:r>
    </w:p>
    <w:p w:rsidR="00090A10" w:rsidRDefault="00F351E5" w:rsidP="00935DE3">
      <w:pPr>
        <w:spacing w:line="360" w:lineRule="auto"/>
        <w:ind w:left="1985"/>
        <w:jc w:val="both"/>
        <w:rPr>
          <w:rFonts w:ascii="Tahoma" w:eastAsia="Tahoma" w:hAnsi="Tahoma" w:cs="Tahoma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>IV - o</w:t>
      </w:r>
      <w:r w:rsidRPr="00F351E5">
        <w:rPr>
          <w:rFonts w:ascii="Tahoma" w:eastAsia="Tahoma" w:hAnsi="Tahoma" w:cs="Tahoma"/>
          <w:sz w:val="22"/>
          <w:szCs w:val="22"/>
        </w:rPr>
        <w:t xml:space="preserve">s empreendimentos habitacionais de interesse social vinculados às políticas habitacionais governamentais ficam desobrigados do cumprimento do disposto </w:t>
      </w:r>
      <w:r>
        <w:rPr>
          <w:rFonts w:ascii="Tahoma" w:eastAsia="Tahoma" w:hAnsi="Tahoma" w:cs="Tahoma"/>
          <w:sz w:val="22"/>
          <w:szCs w:val="22"/>
        </w:rPr>
        <w:t xml:space="preserve">neste </w:t>
      </w:r>
      <w:r w:rsidR="002619E7">
        <w:rPr>
          <w:rFonts w:ascii="Tahoma" w:eastAsia="Tahoma" w:hAnsi="Tahoma" w:cs="Tahoma"/>
          <w:sz w:val="22"/>
          <w:szCs w:val="22"/>
        </w:rPr>
        <w:t>parágrafo</w:t>
      </w:r>
      <w:r w:rsidR="0065080C">
        <w:rPr>
          <w:rFonts w:ascii="Tahoma" w:eastAsia="Tahoma" w:hAnsi="Tahoma" w:cs="Tahoma"/>
          <w:sz w:val="22"/>
          <w:szCs w:val="22"/>
        </w:rPr>
        <w:t>”</w:t>
      </w:r>
      <w:proofErr w:type="gramEnd"/>
      <w:r w:rsidR="00166FE2">
        <w:rPr>
          <w:rFonts w:ascii="Tahoma" w:eastAsia="Tahoma" w:hAnsi="Tahoma" w:cs="Tahoma"/>
          <w:sz w:val="22"/>
          <w:szCs w:val="22"/>
        </w:rPr>
        <w:t>.</w:t>
      </w:r>
    </w:p>
    <w:p w:rsidR="0065080C" w:rsidRDefault="0065080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5080C" w:rsidRDefault="0065080C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Art.2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º - </w:t>
      </w:r>
      <w:r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Pr="00864CFC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935DE3">
        <w:rPr>
          <w:rFonts w:ascii="Tahoma" w:eastAsia="Tahoma" w:hAnsi="Tahoma" w:cs="Tahoma"/>
          <w:b/>
          <w:sz w:val="22"/>
          <w:szCs w:val="22"/>
        </w:rPr>
        <w:t xml:space="preserve">Quadro VI do </w:t>
      </w:r>
      <w:proofErr w:type="spellStart"/>
      <w:r w:rsidR="00935DE3">
        <w:rPr>
          <w:rFonts w:ascii="Tahoma" w:eastAsia="Tahoma" w:hAnsi="Tahoma" w:cs="Tahoma"/>
          <w:b/>
          <w:sz w:val="22"/>
          <w:szCs w:val="22"/>
        </w:rPr>
        <w:t>anexo</w:t>
      </w:r>
      <w:r>
        <w:rPr>
          <w:rFonts w:ascii="Tahoma" w:eastAsia="Tahoma" w:hAnsi="Tahoma" w:cs="Tahoma"/>
          <w:sz w:val="22"/>
          <w:szCs w:val="22"/>
        </w:rPr>
        <w:t>do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="00935DE3">
        <w:rPr>
          <w:rFonts w:ascii="Tahoma" w:eastAsia="Tahoma" w:hAnsi="Tahoma" w:cs="Tahoma"/>
          <w:sz w:val="22"/>
          <w:szCs w:val="22"/>
        </w:rPr>
        <w:t>atualizando-o conforme a modificação estabelecida no Art.1° desta emenda.</w:t>
      </w:r>
    </w:p>
    <w:p w:rsidR="00864CFC" w:rsidRDefault="00864CFC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9B2868" w:rsidRDefault="009B2868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864CFC" w:rsidRDefault="00D43A2F" w:rsidP="009B2868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22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D43A2F" w:rsidRPr="00864CFC" w:rsidRDefault="00D43A2F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6B25E8" w:rsidRDefault="006241EF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D77B66" w:rsidRDefault="00D77B66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77B66" w:rsidRPr="00864CFC" w:rsidRDefault="00D77B66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</w:p>
    <w:p w:rsidR="00225EE1" w:rsidRDefault="006241EF" w:rsidP="00143A90">
      <w:p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sz w:val="22"/>
          <w:szCs w:val="22"/>
        </w:rPr>
        <w:t xml:space="preserve">Em meio aos desafios urbanos contemporâneos, a reconsideração do espaço destinado ao estacionamento em unidades habitacionais emerge como uma estratégia para promover benefícios urbanos, sociais, ambientais e econômicos. </w:t>
      </w:r>
      <w:r>
        <w:rPr>
          <w:rFonts w:ascii="Tahoma" w:eastAsia="Tahoma" w:hAnsi="Tahoma" w:cs="Tahoma"/>
          <w:sz w:val="22"/>
          <w:szCs w:val="22"/>
        </w:rPr>
        <w:t xml:space="preserve">Abaixo apresentamos </w:t>
      </w:r>
      <w:proofErr w:type="spellStart"/>
      <w:r>
        <w:rPr>
          <w:rFonts w:ascii="Tahoma" w:eastAsia="Tahoma" w:hAnsi="Tahoma" w:cs="Tahoma"/>
          <w:sz w:val="22"/>
          <w:szCs w:val="22"/>
        </w:rPr>
        <w:t>algunsd</w:t>
      </w:r>
      <w:r w:rsidRPr="005D0DDC">
        <w:rPr>
          <w:rFonts w:ascii="Tahoma" w:eastAsia="Tahoma" w:hAnsi="Tahoma" w:cs="Tahoma"/>
          <w:sz w:val="22"/>
          <w:szCs w:val="22"/>
        </w:rPr>
        <w:t>os</w:t>
      </w:r>
      <w:proofErr w:type="spellEnd"/>
      <w:r w:rsidRPr="005D0DDC">
        <w:rPr>
          <w:rFonts w:ascii="Tahoma" w:eastAsia="Tahoma" w:hAnsi="Tahoma" w:cs="Tahoma"/>
          <w:sz w:val="22"/>
          <w:szCs w:val="22"/>
        </w:rPr>
        <w:t xml:space="preserve"> impactos positivos da diminuição das vagas de estacionamento em prol do estímulo ao uso de bicicletas e do transporte público coletivo por ônibus.</w:t>
      </w:r>
    </w:p>
    <w:p w:rsidR="005D0DDC" w:rsidRP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5D0DDC" w:rsidRP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b/>
          <w:bCs/>
          <w:sz w:val="22"/>
          <w:szCs w:val="22"/>
        </w:rPr>
        <w:t>Benefícios Urbanos:</w:t>
      </w:r>
    </w:p>
    <w:p w:rsidR="005D0DDC" w:rsidRPr="005D0DDC" w:rsidRDefault="005D0DDC" w:rsidP="005D0DDC">
      <w:pPr>
        <w:numPr>
          <w:ilvl w:val="0"/>
          <w:numId w:val="9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proofErr w:type="spellStart"/>
      <w:r w:rsidRPr="005D0DDC">
        <w:rPr>
          <w:rFonts w:ascii="Tahoma" w:eastAsia="Tahoma" w:hAnsi="Tahoma" w:cs="Tahoma"/>
          <w:i/>
          <w:iCs/>
          <w:sz w:val="22"/>
          <w:szCs w:val="22"/>
        </w:rPr>
        <w:t>Descongestionamento</w:t>
      </w:r>
      <w:proofErr w:type="spellEnd"/>
      <w:r w:rsidRPr="005D0DDC">
        <w:rPr>
          <w:rFonts w:ascii="Tahoma" w:eastAsia="Tahoma" w:hAnsi="Tahoma" w:cs="Tahoma"/>
          <w:i/>
          <w:iCs/>
          <w:sz w:val="22"/>
          <w:szCs w:val="22"/>
        </w:rPr>
        <w:t xml:space="preserve"> Viário:</w:t>
      </w:r>
      <w:r w:rsidRPr="005D0DDC">
        <w:rPr>
          <w:rFonts w:ascii="Tahoma" w:eastAsia="Tahoma" w:hAnsi="Tahoma" w:cs="Tahoma"/>
          <w:sz w:val="22"/>
          <w:szCs w:val="22"/>
        </w:rPr>
        <w:t xml:space="preserve"> A redução da oferta de vagas de estacionamento diminui a quantidade de veículos em circulação, contribuindo para a </w:t>
      </w:r>
      <w:proofErr w:type="spellStart"/>
      <w:r w:rsidRPr="005D0DDC">
        <w:rPr>
          <w:rFonts w:ascii="Tahoma" w:eastAsia="Tahoma" w:hAnsi="Tahoma" w:cs="Tahoma"/>
          <w:sz w:val="22"/>
          <w:szCs w:val="22"/>
        </w:rPr>
        <w:t>descongestionamento</w:t>
      </w:r>
      <w:proofErr w:type="spellEnd"/>
      <w:r w:rsidRPr="005D0DDC">
        <w:rPr>
          <w:rFonts w:ascii="Tahoma" w:eastAsia="Tahoma" w:hAnsi="Tahoma" w:cs="Tahoma"/>
          <w:sz w:val="22"/>
          <w:szCs w:val="22"/>
        </w:rPr>
        <w:t xml:space="preserve"> das vias urbanas. Menos carros estacionados significam ruas mais fluidas e redução dos congestionamentos, melhorando a mobilidade urbana.</w:t>
      </w:r>
    </w:p>
    <w:p w:rsidR="005D0DDC" w:rsidRDefault="005D0DDC" w:rsidP="005D0DDC">
      <w:pPr>
        <w:numPr>
          <w:ilvl w:val="0"/>
          <w:numId w:val="9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i/>
          <w:iCs/>
          <w:sz w:val="22"/>
          <w:szCs w:val="22"/>
        </w:rPr>
        <w:t>Ocupação Racional do Espaço:</w:t>
      </w:r>
      <w:r w:rsidRPr="005D0DDC">
        <w:rPr>
          <w:rFonts w:ascii="Tahoma" w:eastAsia="Tahoma" w:hAnsi="Tahoma" w:cs="Tahoma"/>
          <w:sz w:val="22"/>
          <w:szCs w:val="22"/>
        </w:rPr>
        <w:t xml:space="preserve"> Ao substituir espaços destinados ao estacionamento por áreas de convivência, parques, ou estruturas dedicadas a bicicletas, as cidades ganham em qualidade de vida e aproveitamento racional do espaço urbano.</w:t>
      </w:r>
    </w:p>
    <w:p w:rsidR="005D0DDC" w:rsidRPr="005D0DDC" w:rsidRDefault="005D0DDC" w:rsidP="005D0DDC">
      <w:pPr>
        <w:spacing w:line="360" w:lineRule="auto"/>
        <w:ind w:left="720"/>
        <w:jc w:val="both"/>
        <w:rPr>
          <w:rFonts w:ascii="Tahoma" w:eastAsia="Tahoma" w:hAnsi="Tahoma" w:cs="Tahoma"/>
          <w:sz w:val="22"/>
          <w:szCs w:val="22"/>
        </w:rPr>
      </w:pPr>
    </w:p>
    <w:p w:rsidR="005D0DDC" w:rsidRP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b/>
          <w:bCs/>
          <w:sz w:val="22"/>
          <w:szCs w:val="22"/>
        </w:rPr>
        <w:t>Benefícios Sociais:</w:t>
      </w:r>
    </w:p>
    <w:p w:rsidR="005D0DDC" w:rsidRPr="005D0DDC" w:rsidRDefault="005D0DDC" w:rsidP="005D0DDC">
      <w:pPr>
        <w:numPr>
          <w:ilvl w:val="0"/>
          <w:numId w:val="10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i/>
          <w:iCs/>
          <w:sz w:val="22"/>
          <w:szCs w:val="22"/>
        </w:rPr>
        <w:t>Estímulo à Atividade Física:</w:t>
      </w:r>
      <w:r w:rsidRPr="005D0DDC">
        <w:rPr>
          <w:rFonts w:ascii="Tahoma" w:eastAsia="Tahoma" w:hAnsi="Tahoma" w:cs="Tahoma"/>
          <w:sz w:val="22"/>
          <w:szCs w:val="22"/>
        </w:rPr>
        <w:t xml:space="preserve"> A promoção do uso de bicicletas incentiva um estilo de vida mais ativo e saudável. Além disso, a caminhada até os pontos de ônibus contribui para a melhoria da saúde física e mental dos habitantes urbanos.</w:t>
      </w:r>
    </w:p>
    <w:p w:rsidR="005D0DDC" w:rsidRDefault="005D0DDC" w:rsidP="005D0DDC">
      <w:pPr>
        <w:numPr>
          <w:ilvl w:val="0"/>
          <w:numId w:val="10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i/>
          <w:iCs/>
          <w:sz w:val="22"/>
          <w:szCs w:val="22"/>
        </w:rPr>
        <w:t>Acessibilidade para Todos:</w:t>
      </w:r>
      <w:r w:rsidRPr="005D0DDC">
        <w:rPr>
          <w:rFonts w:ascii="Tahoma" w:eastAsia="Tahoma" w:hAnsi="Tahoma" w:cs="Tahoma"/>
          <w:sz w:val="22"/>
          <w:szCs w:val="22"/>
        </w:rPr>
        <w:t xml:space="preserve"> Ao priorizar transporte público e bicicletas, as cidades se tornam mais acessíveis para pessoas de todas as idades e capacidades, diminuindo a dependência de veículos individuais e </w:t>
      </w:r>
      <w:r>
        <w:rPr>
          <w:rFonts w:ascii="Tahoma" w:eastAsia="Tahoma" w:hAnsi="Tahoma" w:cs="Tahoma"/>
          <w:sz w:val="22"/>
          <w:szCs w:val="22"/>
        </w:rPr>
        <w:t>estimulando a</w:t>
      </w:r>
      <w:r w:rsidRPr="005D0DDC">
        <w:rPr>
          <w:rFonts w:ascii="Tahoma" w:eastAsia="Tahoma" w:hAnsi="Tahoma" w:cs="Tahoma"/>
          <w:sz w:val="22"/>
          <w:szCs w:val="22"/>
        </w:rPr>
        <w:t xml:space="preserve"> mobilidade inclusiva.</w:t>
      </w:r>
    </w:p>
    <w:p w:rsidR="005D0DDC" w:rsidRPr="005D0DDC" w:rsidRDefault="005D0DDC" w:rsidP="005D0DDC">
      <w:pPr>
        <w:spacing w:line="360" w:lineRule="auto"/>
        <w:ind w:left="720"/>
        <w:jc w:val="both"/>
        <w:rPr>
          <w:rFonts w:ascii="Tahoma" w:eastAsia="Tahoma" w:hAnsi="Tahoma" w:cs="Tahoma"/>
          <w:sz w:val="22"/>
          <w:szCs w:val="22"/>
        </w:rPr>
      </w:pPr>
    </w:p>
    <w:p w:rsidR="005D0DDC" w:rsidRP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b/>
          <w:bCs/>
          <w:sz w:val="22"/>
          <w:szCs w:val="22"/>
        </w:rPr>
        <w:t>Benefícios Ambientais:</w:t>
      </w:r>
    </w:p>
    <w:p w:rsidR="005D0DDC" w:rsidRPr="006C6DEF" w:rsidRDefault="005D0DDC" w:rsidP="00465F91">
      <w:pPr>
        <w:numPr>
          <w:ilvl w:val="0"/>
          <w:numId w:val="11"/>
        </w:numPr>
        <w:spacing w:line="360" w:lineRule="auto"/>
        <w:jc w:val="both"/>
        <w:rPr>
          <w:rFonts w:ascii="Tahoma" w:eastAsia="Tahoma" w:hAnsi="Tahoma" w:cs="Tahoma"/>
          <w:i/>
          <w:iCs/>
          <w:sz w:val="22"/>
          <w:szCs w:val="22"/>
        </w:rPr>
      </w:pPr>
      <w:r w:rsidRPr="006C6DEF">
        <w:rPr>
          <w:rFonts w:ascii="Tahoma" w:eastAsia="Tahoma" w:hAnsi="Tahoma" w:cs="Tahoma"/>
          <w:i/>
          <w:iCs/>
          <w:sz w:val="22"/>
          <w:szCs w:val="22"/>
        </w:rPr>
        <w:t>Redução da Emissão de Gases Poluentes:</w:t>
      </w:r>
      <w:r w:rsidRPr="006C6DEF">
        <w:rPr>
          <w:rFonts w:ascii="Tahoma" w:eastAsia="Tahoma" w:hAnsi="Tahoma" w:cs="Tahoma"/>
          <w:sz w:val="22"/>
          <w:szCs w:val="22"/>
        </w:rPr>
        <w:t xml:space="preserve"> A diminuição do número de veículos particulares em circulação reduz significativamente a emissão de poluentes atmosféricos, contribuindo para a melhoria da qualidade do ar e mitigação das mudanças climáticas.</w:t>
      </w:r>
    </w:p>
    <w:p w:rsidR="006C6DEF" w:rsidRDefault="006C6DEF" w:rsidP="006C6DEF">
      <w:pPr>
        <w:spacing w:line="360" w:lineRule="auto"/>
        <w:jc w:val="both"/>
        <w:rPr>
          <w:rFonts w:ascii="Tahoma" w:eastAsia="Tahoma" w:hAnsi="Tahoma" w:cs="Tahoma"/>
          <w:i/>
          <w:iCs/>
          <w:sz w:val="22"/>
          <w:szCs w:val="22"/>
        </w:rPr>
      </w:pPr>
    </w:p>
    <w:p w:rsidR="006C6DEF" w:rsidRDefault="006C6DEF" w:rsidP="006C6DEF">
      <w:pPr>
        <w:spacing w:line="360" w:lineRule="auto"/>
        <w:jc w:val="both"/>
        <w:rPr>
          <w:rFonts w:ascii="Tahoma" w:eastAsia="Tahoma" w:hAnsi="Tahoma" w:cs="Tahoma"/>
          <w:i/>
          <w:iCs/>
          <w:sz w:val="22"/>
          <w:szCs w:val="22"/>
        </w:rPr>
      </w:pPr>
    </w:p>
    <w:p w:rsidR="006C6DEF" w:rsidRPr="006C6DEF" w:rsidRDefault="006C6DEF" w:rsidP="006C6DEF">
      <w:pPr>
        <w:spacing w:line="360" w:lineRule="auto"/>
        <w:jc w:val="both"/>
        <w:rPr>
          <w:rFonts w:ascii="Tahoma" w:eastAsia="Tahoma" w:hAnsi="Tahoma" w:cs="Tahoma"/>
          <w:i/>
          <w:iCs/>
          <w:sz w:val="22"/>
          <w:szCs w:val="22"/>
        </w:rPr>
      </w:pPr>
    </w:p>
    <w:p w:rsidR="005D0DDC" w:rsidRPr="005D0DDC" w:rsidRDefault="005D0DDC" w:rsidP="005D0DDC">
      <w:pPr>
        <w:spacing w:line="360" w:lineRule="auto"/>
        <w:ind w:left="720"/>
        <w:jc w:val="both"/>
        <w:rPr>
          <w:rFonts w:ascii="Tahoma" w:eastAsia="Tahoma" w:hAnsi="Tahoma" w:cs="Tahoma"/>
          <w:sz w:val="22"/>
          <w:szCs w:val="22"/>
        </w:rPr>
      </w:pPr>
    </w:p>
    <w:p w:rsidR="005D0DDC" w:rsidRP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b/>
          <w:bCs/>
          <w:sz w:val="22"/>
          <w:szCs w:val="22"/>
        </w:rPr>
        <w:t>Benefícios Econômicos:</w:t>
      </w:r>
    </w:p>
    <w:p w:rsidR="005D0DDC" w:rsidRPr="005D0DDC" w:rsidRDefault="005D0DDC" w:rsidP="005D0DDC">
      <w:pPr>
        <w:numPr>
          <w:ilvl w:val="0"/>
          <w:numId w:val="1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i/>
          <w:iCs/>
          <w:sz w:val="22"/>
          <w:szCs w:val="22"/>
        </w:rPr>
        <w:t>Redução de Custos Urbanos:</w:t>
      </w:r>
      <w:r w:rsidRPr="005D0DDC">
        <w:rPr>
          <w:rFonts w:ascii="Tahoma" w:eastAsia="Tahoma" w:hAnsi="Tahoma" w:cs="Tahoma"/>
          <w:sz w:val="22"/>
          <w:szCs w:val="22"/>
        </w:rPr>
        <w:t xml:space="preserve"> Menos demanda por </w:t>
      </w:r>
      <w:proofErr w:type="spellStart"/>
      <w:r w:rsidRPr="005D0DDC">
        <w:rPr>
          <w:rFonts w:ascii="Tahoma" w:eastAsia="Tahoma" w:hAnsi="Tahoma" w:cs="Tahoma"/>
          <w:sz w:val="22"/>
          <w:szCs w:val="22"/>
        </w:rPr>
        <w:t>infraestruturas</w:t>
      </w:r>
      <w:proofErr w:type="spellEnd"/>
      <w:r w:rsidRPr="005D0DDC">
        <w:rPr>
          <w:rFonts w:ascii="Tahoma" w:eastAsia="Tahoma" w:hAnsi="Tahoma" w:cs="Tahoma"/>
          <w:sz w:val="22"/>
          <w:szCs w:val="22"/>
        </w:rPr>
        <w:t xml:space="preserve"> de estacionamento implica em menores custos de manutenção e construção, direcionando recursos financeiros para projetos urbanos mais sustentáveis e inovadores.</w:t>
      </w:r>
    </w:p>
    <w:p w:rsidR="005D0DDC" w:rsidRPr="005D0DDC" w:rsidRDefault="005D0DDC" w:rsidP="005D0DDC">
      <w:pPr>
        <w:numPr>
          <w:ilvl w:val="0"/>
          <w:numId w:val="1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i/>
          <w:iCs/>
          <w:sz w:val="22"/>
          <w:szCs w:val="22"/>
        </w:rPr>
        <w:t>Estímulo à Economia Local:</w:t>
      </w:r>
      <w:r w:rsidRPr="005D0DDC">
        <w:rPr>
          <w:rFonts w:ascii="Tahoma" w:eastAsia="Tahoma" w:hAnsi="Tahoma" w:cs="Tahoma"/>
          <w:sz w:val="22"/>
          <w:szCs w:val="22"/>
        </w:rPr>
        <w:t xml:space="preserve"> A promoção do transporte público e da mobilidade ativa beneficia o comércio local, tornando áreas urbanas mais atrativas para pedestres e ciclistas, impulsionando o desenvolvimento econômico em nível comunitário.</w:t>
      </w:r>
    </w:p>
    <w:p w:rsid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5D0DDC" w:rsidRDefault="005D0DDC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5D0DDC">
        <w:rPr>
          <w:rFonts w:ascii="Tahoma" w:eastAsia="Tahoma" w:hAnsi="Tahoma" w:cs="Tahoma"/>
          <w:sz w:val="22"/>
          <w:szCs w:val="22"/>
        </w:rPr>
        <w:t>A diminuição da oferta de vagas de estacionamento em unidades habitacionais, aliada ao fomento do uso de bicicletas e transporte público coletivo, não apenas redefine a paisagem urbana, mas representa um passo crucial em direção a cidades mais sustentáveis, inclusivas e economicamente viáveis. Essa abordagem holística reflete um compromisso com o bem-estar das comunidades urbanas e a preservação do meio ambiente, sinalizando um futuro urbano mais promissor e equitativo.</w:t>
      </w:r>
    </w:p>
    <w:p w:rsidR="006C6DEF" w:rsidRDefault="006C6DEF" w:rsidP="005D0DD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C6DEF" w:rsidRPr="006C6DEF" w:rsidRDefault="006C6DEF" w:rsidP="006C6DE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Já os veículos elétricos</w:t>
      </w:r>
      <w:r w:rsidRPr="006C6DEF">
        <w:rPr>
          <w:rFonts w:ascii="Tahoma" w:eastAsia="Tahoma" w:hAnsi="Tahoma" w:cs="Tahoma"/>
          <w:sz w:val="22"/>
          <w:szCs w:val="22"/>
        </w:rPr>
        <w:t xml:space="preserve">, embora ainda em número baixo, vêm ganhando espaço no mercado a cada ano. Segundo a </w:t>
      </w:r>
      <w:proofErr w:type="spellStart"/>
      <w:proofErr w:type="gramStart"/>
      <w:r w:rsidRPr="006C6DEF">
        <w:rPr>
          <w:rFonts w:ascii="Tahoma" w:eastAsia="Tahoma" w:hAnsi="Tahoma" w:cs="Tahoma"/>
          <w:sz w:val="22"/>
          <w:szCs w:val="22"/>
        </w:rPr>
        <w:t>Anfavea</w:t>
      </w:r>
      <w:proofErr w:type="spellEnd"/>
      <w:proofErr w:type="gramEnd"/>
      <w:r w:rsidRPr="006C6DEF">
        <w:rPr>
          <w:rFonts w:ascii="Tahoma" w:eastAsia="Tahoma" w:hAnsi="Tahoma" w:cs="Tahoma"/>
          <w:sz w:val="22"/>
          <w:szCs w:val="22"/>
        </w:rPr>
        <w:t>, Associação Nacional dos Fabricantes de Veículos Automotores, a quantidade de carros elétricos licenciados em 2021 foi de 34,9 mil unidades, 77% a mais que no ano anterior. Em janeiro e fevereiro deste ano, foram 5.992 automóveis licenciados, mais que o dobro do mesmo período de 2021.</w:t>
      </w:r>
    </w:p>
    <w:p w:rsidR="006C6DEF" w:rsidRPr="006C6DEF" w:rsidRDefault="006C6DEF" w:rsidP="006C6DE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6C6DEF" w:rsidRPr="006C6DEF" w:rsidRDefault="006C6DEF" w:rsidP="006C6DE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6C6DEF">
        <w:rPr>
          <w:rFonts w:ascii="Tahoma" w:eastAsia="Tahoma" w:hAnsi="Tahoma" w:cs="Tahoma"/>
          <w:sz w:val="22"/>
          <w:szCs w:val="22"/>
        </w:rPr>
        <w:t xml:space="preserve">Em abril de 2022, duas grandes montadoras, General Motors e Honda, anunciaram uma parceria para a produção de carros elétricos mais acessíveis a partir de 2027, demonstrando a aposta das montadoras neste novo modelo de veículo e na neutralidade total de carbono </w:t>
      </w:r>
      <w:proofErr w:type="gramStart"/>
      <w:r w:rsidRPr="006C6DEF">
        <w:rPr>
          <w:rFonts w:ascii="Tahoma" w:eastAsia="Tahoma" w:hAnsi="Tahoma" w:cs="Tahoma"/>
          <w:sz w:val="22"/>
          <w:szCs w:val="22"/>
        </w:rPr>
        <w:t>a médio prazo</w:t>
      </w:r>
      <w:proofErr w:type="gramEnd"/>
      <w:r w:rsidRPr="006C6DEF">
        <w:rPr>
          <w:rFonts w:ascii="Tahoma" w:eastAsia="Tahoma" w:hAnsi="Tahoma" w:cs="Tahoma"/>
          <w:sz w:val="22"/>
          <w:szCs w:val="22"/>
        </w:rPr>
        <w:t>.</w:t>
      </w:r>
    </w:p>
    <w:p w:rsidR="006C6DEF" w:rsidRPr="006C6DEF" w:rsidRDefault="006C6DEF" w:rsidP="006C6DE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9"/>
      <w:footerReference w:type="default" r:id="rId10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559" w:rsidRDefault="00175559">
      <w:r>
        <w:separator/>
      </w:r>
    </w:p>
  </w:endnote>
  <w:endnote w:type="continuationSeparator" w:id="1">
    <w:p w:rsidR="00175559" w:rsidRDefault="00175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559" w:rsidRDefault="00175559">
      <w:r>
        <w:separator/>
      </w:r>
    </w:p>
  </w:footnote>
  <w:footnote w:type="continuationSeparator" w:id="1">
    <w:p w:rsidR="00175559" w:rsidRDefault="001755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DB7C81"/>
    <w:multiLevelType w:val="hybridMultilevel"/>
    <w:tmpl w:val="9AF055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C09ED"/>
    <w:multiLevelType w:val="multilevel"/>
    <w:tmpl w:val="13088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564504"/>
    <w:multiLevelType w:val="multilevel"/>
    <w:tmpl w:val="E9949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564ADE"/>
    <w:multiLevelType w:val="multilevel"/>
    <w:tmpl w:val="E8E2D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BD6FD7"/>
    <w:multiLevelType w:val="multilevel"/>
    <w:tmpl w:val="AF140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83653D"/>
    <w:multiLevelType w:val="multilevel"/>
    <w:tmpl w:val="469E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2F5FF9"/>
    <w:multiLevelType w:val="multilevel"/>
    <w:tmpl w:val="48265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1374AC"/>
    <w:multiLevelType w:val="multilevel"/>
    <w:tmpl w:val="62A4B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AF7A84"/>
    <w:multiLevelType w:val="multilevel"/>
    <w:tmpl w:val="D6422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127D99"/>
    <w:multiLevelType w:val="multilevel"/>
    <w:tmpl w:val="3C7A6CBC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32ED4"/>
    <w:rsid w:val="00055BD0"/>
    <w:rsid w:val="00055CDF"/>
    <w:rsid w:val="00062700"/>
    <w:rsid w:val="00064494"/>
    <w:rsid w:val="00072305"/>
    <w:rsid w:val="00085C8D"/>
    <w:rsid w:val="00090A10"/>
    <w:rsid w:val="000A2B1F"/>
    <w:rsid w:val="000A6933"/>
    <w:rsid w:val="000A6DD0"/>
    <w:rsid w:val="000B24DF"/>
    <w:rsid w:val="000C4D79"/>
    <w:rsid w:val="000D312E"/>
    <w:rsid w:val="000F25DF"/>
    <w:rsid w:val="00101243"/>
    <w:rsid w:val="00106D2F"/>
    <w:rsid w:val="00107CE6"/>
    <w:rsid w:val="00115473"/>
    <w:rsid w:val="00131938"/>
    <w:rsid w:val="00133ECD"/>
    <w:rsid w:val="0014089D"/>
    <w:rsid w:val="00143A90"/>
    <w:rsid w:val="0014471F"/>
    <w:rsid w:val="00166FE2"/>
    <w:rsid w:val="00175559"/>
    <w:rsid w:val="001768E3"/>
    <w:rsid w:val="00181660"/>
    <w:rsid w:val="001A1DD3"/>
    <w:rsid w:val="001A28A2"/>
    <w:rsid w:val="001B357E"/>
    <w:rsid w:val="001C13BD"/>
    <w:rsid w:val="001C3271"/>
    <w:rsid w:val="001F0B30"/>
    <w:rsid w:val="001F3CF6"/>
    <w:rsid w:val="001F3F52"/>
    <w:rsid w:val="00217048"/>
    <w:rsid w:val="00223AC5"/>
    <w:rsid w:val="00225EE1"/>
    <w:rsid w:val="002434AF"/>
    <w:rsid w:val="002619E7"/>
    <w:rsid w:val="002713BC"/>
    <w:rsid w:val="002731C9"/>
    <w:rsid w:val="002733B2"/>
    <w:rsid w:val="00273635"/>
    <w:rsid w:val="00284B22"/>
    <w:rsid w:val="002939EA"/>
    <w:rsid w:val="0029513E"/>
    <w:rsid w:val="002977F0"/>
    <w:rsid w:val="002A296E"/>
    <w:rsid w:val="002B4DE1"/>
    <w:rsid w:val="002C75D1"/>
    <w:rsid w:val="002D372E"/>
    <w:rsid w:val="002D4100"/>
    <w:rsid w:val="002E654D"/>
    <w:rsid w:val="002F5270"/>
    <w:rsid w:val="00310580"/>
    <w:rsid w:val="00323398"/>
    <w:rsid w:val="003278E9"/>
    <w:rsid w:val="00334C73"/>
    <w:rsid w:val="00334D08"/>
    <w:rsid w:val="00340D2F"/>
    <w:rsid w:val="003507C4"/>
    <w:rsid w:val="0035394F"/>
    <w:rsid w:val="0035489A"/>
    <w:rsid w:val="00375E54"/>
    <w:rsid w:val="003776C1"/>
    <w:rsid w:val="003B27EB"/>
    <w:rsid w:val="003E622A"/>
    <w:rsid w:val="003E669E"/>
    <w:rsid w:val="00415004"/>
    <w:rsid w:val="00422699"/>
    <w:rsid w:val="0043577C"/>
    <w:rsid w:val="004365FC"/>
    <w:rsid w:val="00440E08"/>
    <w:rsid w:val="00443CF7"/>
    <w:rsid w:val="00453948"/>
    <w:rsid w:val="00474BF0"/>
    <w:rsid w:val="00482D03"/>
    <w:rsid w:val="004844C1"/>
    <w:rsid w:val="00485A11"/>
    <w:rsid w:val="00493869"/>
    <w:rsid w:val="004A46DA"/>
    <w:rsid w:val="004C4F69"/>
    <w:rsid w:val="004C7D18"/>
    <w:rsid w:val="004E4CE8"/>
    <w:rsid w:val="004E6C61"/>
    <w:rsid w:val="00511D6B"/>
    <w:rsid w:val="0052137E"/>
    <w:rsid w:val="0053015B"/>
    <w:rsid w:val="00553BFF"/>
    <w:rsid w:val="00555DEE"/>
    <w:rsid w:val="00557175"/>
    <w:rsid w:val="005610BE"/>
    <w:rsid w:val="00561B54"/>
    <w:rsid w:val="00564C07"/>
    <w:rsid w:val="005674B4"/>
    <w:rsid w:val="00567873"/>
    <w:rsid w:val="00580F27"/>
    <w:rsid w:val="005C13C5"/>
    <w:rsid w:val="005D0DDC"/>
    <w:rsid w:val="005D116C"/>
    <w:rsid w:val="005D16A0"/>
    <w:rsid w:val="005D2F5C"/>
    <w:rsid w:val="005D763D"/>
    <w:rsid w:val="005F0A7A"/>
    <w:rsid w:val="005F7467"/>
    <w:rsid w:val="00601415"/>
    <w:rsid w:val="0061075C"/>
    <w:rsid w:val="006161AA"/>
    <w:rsid w:val="006241EF"/>
    <w:rsid w:val="0065080C"/>
    <w:rsid w:val="00653BA8"/>
    <w:rsid w:val="00657D7E"/>
    <w:rsid w:val="006672D9"/>
    <w:rsid w:val="006A25FC"/>
    <w:rsid w:val="006A7C96"/>
    <w:rsid w:val="006B25E8"/>
    <w:rsid w:val="006B640A"/>
    <w:rsid w:val="006C4245"/>
    <w:rsid w:val="006C6DEF"/>
    <w:rsid w:val="006E7792"/>
    <w:rsid w:val="006F458B"/>
    <w:rsid w:val="0070163D"/>
    <w:rsid w:val="00724115"/>
    <w:rsid w:val="00732BD4"/>
    <w:rsid w:val="00734C67"/>
    <w:rsid w:val="007452F8"/>
    <w:rsid w:val="00755039"/>
    <w:rsid w:val="00767D69"/>
    <w:rsid w:val="007703AE"/>
    <w:rsid w:val="00785FCD"/>
    <w:rsid w:val="00790A8C"/>
    <w:rsid w:val="007A629E"/>
    <w:rsid w:val="007B3E64"/>
    <w:rsid w:val="007C26D4"/>
    <w:rsid w:val="007C798A"/>
    <w:rsid w:val="007D23BE"/>
    <w:rsid w:val="007E21E5"/>
    <w:rsid w:val="00805CD0"/>
    <w:rsid w:val="0080696C"/>
    <w:rsid w:val="008100B9"/>
    <w:rsid w:val="00811A39"/>
    <w:rsid w:val="0081529B"/>
    <w:rsid w:val="00824D42"/>
    <w:rsid w:val="00854F23"/>
    <w:rsid w:val="00864CFC"/>
    <w:rsid w:val="00877A54"/>
    <w:rsid w:val="00880332"/>
    <w:rsid w:val="008832EC"/>
    <w:rsid w:val="00885D99"/>
    <w:rsid w:val="008965B6"/>
    <w:rsid w:val="008C496C"/>
    <w:rsid w:val="008E00F6"/>
    <w:rsid w:val="008E3E17"/>
    <w:rsid w:val="009030FA"/>
    <w:rsid w:val="0091515F"/>
    <w:rsid w:val="00915CF8"/>
    <w:rsid w:val="009203CB"/>
    <w:rsid w:val="009255EB"/>
    <w:rsid w:val="00934AB0"/>
    <w:rsid w:val="00935DE3"/>
    <w:rsid w:val="0093647C"/>
    <w:rsid w:val="00956B3A"/>
    <w:rsid w:val="00977D40"/>
    <w:rsid w:val="00994B30"/>
    <w:rsid w:val="009955A0"/>
    <w:rsid w:val="009A162A"/>
    <w:rsid w:val="009A2F59"/>
    <w:rsid w:val="009A3644"/>
    <w:rsid w:val="009B1085"/>
    <w:rsid w:val="009B2868"/>
    <w:rsid w:val="009B5B49"/>
    <w:rsid w:val="009C4038"/>
    <w:rsid w:val="009D550E"/>
    <w:rsid w:val="009D74D6"/>
    <w:rsid w:val="00A1394F"/>
    <w:rsid w:val="00A429A6"/>
    <w:rsid w:val="00A621E6"/>
    <w:rsid w:val="00A9777C"/>
    <w:rsid w:val="00AD04A6"/>
    <w:rsid w:val="00AE2019"/>
    <w:rsid w:val="00AF5D87"/>
    <w:rsid w:val="00B1492F"/>
    <w:rsid w:val="00B168DF"/>
    <w:rsid w:val="00B21ECB"/>
    <w:rsid w:val="00B30BD6"/>
    <w:rsid w:val="00B32772"/>
    <w:rsid w:val="00B36CA8"/>
    <w:rsid w:val="00B41F6A"/>
    <w:rsid w:val="00B434E0"/>
    <w:rsid w:val="00B6337D"/>
    <w:rsid w:val="00B761E4"/>
    <w:rsid w:val="00B83959"/>
    <w:rsid w:val="00B973D2"/>
    <w:rsid w:val="00B97C3A"/>
    <w:rsid w:val="00BB2028"/>
    <w:rsid w:val="00BC2E43"/>
    <w:rsid w:val="00BD26B8"/>
    <w:rsid w:val="00C0276D"/>
    <w:rsid w:val="00C1510E"/>
    <w:rsid w:val="00C20DBB"/>
    <w:rsid w:val="00C37659"/>
    <w:rsid w:val="00C5481B"/>
    <w:rsid w:val="00C574DB"/>
    <w:rsid w:val="00C57719"/>
    <w:rsid w:val="00C639C3"/>
    <w:rsid w:val="00C76255"/>
    <w:rsid w:val="00C914A1"/>
    <w:rsid w:val="00CA635D"/>
    <w:rsid w:val="00CB22C0"/>
    <w:rsid w:val="00CD247F"/>
    <w:rsid w:val="00CE6FB9"/>
    <w:rsid w:val="00CF24ED"/>
    <w:rsid w:val="00CF6914"/>
    <w:rsid w:val="00D03E75"/>
    <w:rsid w:val="00D06A54"/>
    <w:rsid w:val="00D127F5"/>
    <w:rsid w:val="00D22673"/>
    <w:rsid w:val="00D34F38"/>
    <w:rsid w:val="00D36CA0"/>
    <w:rsid w:val="00D40DFF"/>
    <w:rsid w:val="00D43A2F"/>
    <w:rsid w:val="00D53543"/>
    <w:rsid w:val="00D551A5"/>
    <w:rsid w:val="00D60A0C"/>
    <w:rsid w:val="00D67619"/>
    <w:rsid w:val="00D73C14"/>
    <w:rsid w:val="00D77B66"/>
    <w:rsid w:val="00DB03F8"/>
    <w:rsid w:val="00DC30F3"/>
    <w:rsid w:val="00DD566B"/>
    <w:rsid w:val="00DE2DD7"/>
    <w:rsid w:val="00DE4199"/>
    <w:rsid w:val="00E02DA0"/>
    <w:rsid w:val="00E04E04"/>
    <w:rsid w:val="00E06598"/>
    <w:rsid w:val="00E24F5C"/>
    <w:rsid w:val="00E27ED4"/>
    <w:rsid w:val="00E40628"/>
    <w:rsid w:val="00E5441A"/>
    <w:rsid w:val="00E55328"/>
    <w:rsid w:val="00E62705"/>
    <w:rsid w:val="00E842ED"/>
    <w:rsid w:val="00E95E32"/>
    <w:rsid w:val="00EA5C04"/>
    <w:rsid w:val="00EB25C6"/>
    <w:rsid w:val="00EC3278"/>
    <w:rsid w:val="00ED2532"/>
    <w:rsid w:val="00ED66DB"/>
    <w:rsid w:val="00F008B1"/>
    <w:rsid w:val="00F02495"/>
    <w:rsid w:val="00F04327"/>
    <w:rsid w:val="00F0535A"/>
    <w:rsid w:val="00F208DE"/>
    <w:rsid w:val="00F2496F"/>
    <w:rsid w:val="00F33E1A"/>
    <w:rsid w:val="00F351E5"/>
    <w:rsid w:val="00F40A4F"/>
    <w:rsid w:val="00F41E8A"/>
    <w:rsid w:val="00F500EB"/>
    <w:rsid w:val="00F5053A"/>
    <w:rsid w:val="00F54E0A"/>
    <w:rsid w:val="00F63427"/>
    <w:rsid w:val="00F63EEA"/>
    <w:rsid w:val="00F661B2"/>
    <w:rsid w:val="00F66DF0"/>
    <w:rsid w:val="00FA36A0"/>
    <w:rsid w:val="00FB5EF4"/>
    <w:rsid w:val="00FB6F6B"/>
    <w:rsid w:val="00FD2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CE6F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CE6FB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CE6FB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B25E8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B25E8"/>
    <w:rPr>
      <w:rFonts w:eastAsia="Lucida Sans Unicode"/>
      <w:kern w:val="1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6B25E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B58CFC63-0421-40BA-9269-1816019C31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1023</Words>
  <Characters>5525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2024-02-22T16:48:00Z</cp:lastPrinted>
  <dcterms:created xsi:type="dcterms:W3CDTF">2024-02-23T14:23:00Z</dcterms:created>
  <dcterms:modified xsi:type="dcterms:W3CDTF">2024-02-23T14:23:00Z</dcterms:modified>
</cp:coreProperties>
</file>