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65984" w:rsidRDefault="00242848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Emenda Nº      /202</w:t>
      </w:r>
      <w:r w:rsidR="00827E49">
        <w:rPr>
          <w:rFonts w:ascii="Tahoma" w:eastAsia="Tahoma" w:hAnsi="Tahoma" w:cs="Tahoma"/>
          <w:b/>
        </w:rPr>
        <w:t>4</w:t>
      </w:r>
    </w:p>
    <w:p w:rsidR="00565984" w:rsidRDefault="00565984">
      <w:pPr>
        <w:tabs>
          <w:tab w:val="left" w:pos="3397"/>
          <w:tab w:val="left" w:pos="13460"/>
          <w:tab w:val="left" w:pos="1133"/>
          <w:tab w:val="center" w:pos="4818"/>
          <w:tab w:val="left" w:pos="11196"/>
        </w:tabs>
      </w:pPr>
    </w:p>
    <w:p w:rsidR="00565984" w:rsidRDefault="00E62C19">
      <w:pPr>
        <w:pStyle w:val="Ttulo1"/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Modificativa</w:t>
      </w:r>
      <w:r w:rsidR="00242848">
        <w:rPr>
          <w:rFonts w:ascii="Tahoma" w:eastAsia="Tahoma" w:hAnsi="Tahoma" w:cs="Tahoma"/>
          <w:b/>
        </w:rPr>
        <w:t xml:space="preserve"> ao Projeto de Lei Nº. </w:t>
      </w:r>
      <w:r w:rsidR="00242848">
        <w:rPr>
          <w:rFonts w:ascii="Tahoma" w:eastAsia="Tahoma" w:hAnsi="Tahoma" w:cs="Tahoma"/>
          <w:b/>
        </w:rPr>
        <w:t>221/2023</w:t>
      </w:r>
    </w:p>
    <w:p w:rsidR="00565984" w:rsidRDefault="00242848">
      <w:pPr>
        <w:ind w:left="6315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           </w:t>
      </w:r>
    </w:p>
    <w:p w:rsidR="00565984" w:rsidRDefault="00242848">
      <w:pPr>
        <w:ind w:left="6315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                                                                                     </w:t>
      </w:r>
    </w:p>
    <w:p w:rsidR="00565984" w:rsidRDefault="00E62C19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highlight w:val="white"/>
        </w:rPr>
      </w:pPr>
      <w:r>
        <w:rPr>
          <w:rFonts w:ascii="Tahoma" w:eastAsia="Tahoma" w:hAnsi="Tahoma" w:cs="Tahoma"/>
          <w:b/>
        </w:rPr>
        <w:t>Modific</w:t>
      </w:r>
      <w:r w:rsidR="00242848">
        <w:rPr>
          <w:rFonts w:ascii="Tahoma" w:eastAsia="Tahoma" w:hAnsi="Tahoma" w:cs="Tahoma"/>
          <w:b/>
        </w:rPr>
        <w:t xml:space="preserve">a-se </w:t>
      </w:r>
      <w:r>
        <w:rPr>
          <w:rFonts w:ascii="Tahoma" w:eastAsia="Tahoma" w:hAnsi="Tahoma" w:cs="Tahoma"/>
          <w:b/>
        </w:rPr>
        <w:t>a</w:t>
      </w:r>
      <w:r w:rsidR="00242848">
        <w:rPr>
          <w:rFonts w:ascii="Tahoma" w:eastAsia="Tahoma" w:hAnsi="Tahoma" w:cs="Tahoma"/>
          <w:b/>
        </w:rPr>
        <w:t xml:space="preserve"> </w:t>
      </w:r>
      <w:r>
        <w:rPr>
          <w:rFonts w:ascii="Tahoma" w:eastAsia="Tahoma" w:hAnsi="Tahoma" w:cs="Tahoma"/>
          <w:b/>
        </w:rPr>
        <w:t>redação do Art.</w:t>
      </w:r>
      <w:r w:rsidR="00242848">
        <w:rPr>
          <w:rFonts w:ascii="Tahoma" w:eastAsia="Tahoma" w:hAnsi="Tahoma" w:cs="Tahoma"/>
          <w:b/>
        </w:rPr>
        <w:t xml:space="preserve"> </w:t>
      </w:r>
      <w:r w:rsidR="00676F67">
        <w:rPr>
          <w:rFonts w:ascii="Tahoma" w:eastAsia="Tahoma" w:hAnsi="Tahoma" w:cs="Tahoma"/>
          <w:b/>
        </w:rPr>
        <w:t>1</w:t>
      </w:r>
      <w:r>
        <w:rPr>
          <w:rFonts w:ascii="Tahoma" w:eastAsia="Tahoma" w:hAnsi="Tahoma" w:cs="Tahoma"/>
          <w:b/>
        </w:rPr>
        <w:t>17</w:t>
      </w:r>
      <w:r w:rsidR="00242848">
        <w:rPr>
          <w:rFonts w:ascii="Tahoma" w:eastAsia="Tahoma" w:hAnsi="Tahoma" w:cs="Tahoma"/>
        </w:rPr>
        <w:t>,</w:t>
      </w:r>
      <w:r>
        <w:rPr>
          <w:rFonts w:ascii="Tahoma" w:eastAsia="Tahoma" w:hAnsi="Tahoma" w:cs="Tahoma"/>
        </w:rPr>
        <w:t xml:space="preserve"> </w:t>
      </w:r>
      <w:r w:rsidRPr="00E62C19">
        <w:rPr>
          <w:rFonts w:ascii="Tahoma" w:eastAsia="Tahoma" w:hAnsi="Tahoma" w:cs="Tahoma"/>
          <w:b/>
        </w:rPr>
        <w:t>edifícios garagem</w:t>
      </w:r>
      <w:r>
        <w:rPr>
          <w:rFonts w:ascii="Tahoma" w:eastAsia="Tahoma" w:hAnsi="Tahoma" w:cs="Tahoma"/>
        </w:rPr>
        <w:t xml:space="preserve">, </w:t>
      </w:r>
      <w:r w:rsidR="00242848">
        <w:rPr>
          <w:rFonts w:ascii="Tahoma" w:eastAsia="Tahoma" w:hAnsi="Tahoma" w:cs="Tahoma"/>
        </w:rPr>
        <w:t xml:space="preserve">ao Projeto de Lei Nº </w:t>
      </w:r>
      <w:r w:rsidR="00242848">
        <w:rPr>
          <w:rFonts w:ascii="Tahoma" w:eastAsia="Tahoma" w:hAnsi="Tahoma" w:cs="Tahoma"/>
        </w:rPr>
        <w:t>221/2023, Lei Urbanística de Niterói, seu zoneamento, a aplicação de instrumentos de política urbana e as regras gerais de licenciamento da atividade edilícia e de fiscalização da execução de obras</w:t>
      </w:r>
      <w:r w:rsidR="00242848">
        <w:rPr>
          <w:rFonts w:ascii="Tahoma" w:eastAsia="Tahoma" w:hAnsi="Tahoma" w:cs="Tahoma"/>
          <w:color w:val="000000"/>
          <w:highlight w:val="white"/>
        </w:rPr>
        <w:t>.</w:t>
      </w:r>
    </w:p>
    <w:p w:rsidR="00565984" w:rsidRDefault="00565984">
      <w:pPr>
        <w:jc w:val="both"/>
        <w:rPr>
          <w:rFonts w:ascii="Tahoma" w:eastAsia="Tahoma" w:hAnsi="Tahoma" w:cs="Tahoma"/>
        </w:rPr>
      </w:pPr>
    </w:p>
    <w:p w:rsidR="00565984" w:rsidRDefault="00242848">
      <w:pPr>
        <w:spacing w:line="360" w:lineRule="auto"/>
        <w:jc w:val="both"/>
        <w:rPr>
          <w:rFonts w:ascii="Tahoma" w:eastAsia="Tahoma" w:hAnsi="Tahoma" w:cs="Tahoma"/>
          <w:b/>
          <w:color w:val="000000"/>
          <w:highlight w:val="white"/>
        </w:rPr>
      </w:pPr>
      <w:r>
        <w:rPr>
          <w:rFonts w:ascii="Tahoma" w:eastAsia="Tahoma" w:hAnsi="Tahoma" w:cs="Tahoma"/>
          <w:b/>
        </w:rPr>
        <w:t>Ar</w:t>
      </w:r>
      <w:r>
        <w:rPr>
          <w:rFonts w:ascii="Tahoma" w:eastAsia="Tahoma" w:hAnsi="Tahoma" w:cs="Tahoma"/>
          <w:b/>
        </w:rPr>
        <w:t xml:space="preserve">t.1º - </w:t>
      </w:r>
      <w:r w:rsidR="002836A6">
        <w:rPr>
          <w:rFonts w:ascii="Tahoma" w:eastAsia="Tahoma" w:hAnsi="Tahoma" w:cs="Tahoma"/>
          <w:b/>
        </w:rPr>
        <w:t>Mo</w:t>
      </w:r>
      <w:r w:rsidR="00E62C19">
        <w:rPr>
          <w:rFonts w:ascii="Tahoma" w:eastAsia="Tahoma" w:hAnsi="Tahoma" w:cs="Tahoma"/>
          <w:b/>
        </w:rPr>
        <w:t>difica-se a redação do Art. 117</w:t>
      </w:r>
      <w:r w:rsidR="00E62C19">
        <w:rPr>
          <w:rFonts w:ascii="Tahoma" w:eastAsia="Tahoma" w:hAnsi="Tahoma" w:cs="Tahoma"/>
        </w:rPr>
        <w:t xml:space="preserve">, </w:t>
      </w:r>
      <w:r w:rsidR="00E62C19" w:rsidRPr="00E62C19">
        <w:rPr>
          <w:rFonts w:ascii="Tahoma" w:eastAsia="Tahoma" w:hAnsi="Tahoma" w:cs="Tahoma"/>
          <w:b/>
        </w:rPr>
        <w:t>edifícios garagem</w:t>
      </w:r>
      <w:r>
        <w:rPr>
          <w:rFonts w:ascii="Tahoma" w:eastAsia="Tahoma" w:hAnsi="Tahoma" w:cs="Tahoma"/>
        </w:rPr>
        <w:t xml:space="preserve">, ao Projeto de Lei Nº </w:t>
      </w:r>
      <w:r>
        <w:rPr>
          <w:rFonts w:ascii="Tahoma" w:eastAsia="Tahoma" w:hAnsi="Tahoma" w:cs="Tahoma"/>
        </w:rPr>
        <w:t>221/2023, Lei Urbanística de Niterói, seu zoneamento, a aplicação de instrumentos de política urbana e as regras gerais de licenciamento da atividade ed</w:t>
      </w:r>
      <w:r>
        <w:rPr>
          <w:rFonts w:ascii="Tahoma" w:eastAsia="Tahoma" w:hAnsi="Tahoma" w:cs="Tahoma"/>
        </w:rPr>
        <w:t>ilícia e de fiscalização da execução de obras</w:t>
      </w:r>
      <w:r>
        <w:rPr>
          <w:rFonts w:ascii="Tahoma" w:eastAsia="Tahoma" w:hAnsi="Tahoma" w:cs="Tahoma"/>
          <w:color w:val="000000"/>
          <w:highlight w:val="white"/>
        </w:rPr>
        <w:t xml:space="preserve">, </w:t>
      </w:r>
      <w:r>
        <w:rPr>
          <w:rFonts w:ascii="Tahoma" w:eastAsia="Tahoma" w:hAnsi="Tahoma" w:cs="Tahoma"/>
          <w:highlight w:val="white"/>
        </w:rPr>
        <w:t>com a seguinte redação:</w:t>
      </w:r>
    </w:p>
    <w:p w:rsidR="00565984" w:rsidRDefault="00565984">
      <w:pPr>
        <w:spacing w:line="360" w:lineRule="auto"/>
        <w:jc w:val="both"/>
      </w:pPr>
    </w:p>
    <w:p w:rsidR="00565984" w:rsidRDefault="002836A6" w:rsidP="00A77586">
      <w:pPr>
        <w:spacing w:line="276" w:lineRule="auto"/>
        <w:ind w:left="1713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§ 1º </w:t>
      </w:r>
      <w:r w:rsidR="00242848">
        <w:rPr>
          <w:rFonts w:ascii="Tahoma" w:eastAsia="Tahoma" w:hAnsi="Tahoma" w:cs="Tahoma"/>
        </w:rPr>
        <w:t>Nos edifícios-garagem não incidirá contrapartida financeira da outorga onerosa de potencial construtivo adicional, desde que as áreas edificadas nos pavimentos de acesso sejam</w:t>
      </w:r>
      <w:r w:rsidR="00242848">
        <w:rPr>
          <w:rFonts w:ascii="Tahoma" w:eastAsia="Tahoma" w:hAnsi="Tahoma" w:cs="Tahoma"/>
        </w:rPr>
        <w:t xml:space="preserve"> destinadas a outros usos não residenciais, que possuam a fachada ativa e que seja aplicada no mínimo 50% (cinquenta por cento) de cobertura verde na edificação.</w:t>
      </w:r>
    </w:p>
    <w:p w:rsidR="00565984" w:rsidRDefault="00565984" w:rsidP="00A77586">
      <w:pPr>
        <w:spacing w:line="276" w:lineRule="auto"/>
        <w:ind w:left="1713"/>
        <w:jc w:val="both"/>
        <w:rPr>
          <w:rFonts w:ascii="Tahoma" w:eastAsia="Tahoma" w:hAnsi="Tahoma" w:cs="Tahoma"/>
        </w:rPr>
      </w:pPr>
    </w:p>
    <w:p w:rsidR="00565984" w:rsidRDefault="00242848" w:rsidP="00A77586">
      <w:pPr>
        <w:spacing w:line="276" w:lineRule="auto"/>
        <w:ind w:left="1713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§ </w:t>
      </w:r>
      <w:r w:rsidR="002836A6">
        <w:rPr>
          <w:rFonts w:ascii="Tahoma" w:eastAsia="Tahoma" w:hAnsi="Tahoma" w:cs="Tahoma"/>
        </w:rPr>
        <w:t>2</w:t>
      </w:r>
      <w:r>
        <w:rPr>
          <w:rFonts w:ascii="Tahoma" w:eastAsia="Tahoma" w:hAnsi="Tahoma" w:cs="Tahoma"/>
        </w:rPr>
        <w:t xml:space="preserve">º O incentivo previsto no </w:t>
      </w:r>
      <w:r w:rsidR="00AB386B">
        <w:rPr>
          <w:rFonts w:ascii="Tahoma" w:eastAsia="Tahoma" w:hAnsi="Tahoma" w:cs="Tahoma"/>
        </w:rPr>
        <w:t xml:space="preserve">§ 1º </w:t>
      </w:r>
      <w:r>
        <w:rPr>
          <w:rFonts w:ascii="Tahoma" w:eastAsia="Tahoma" w:hAnsi="Tahoma" w:cs="Tahoma"/>
        </w:rPr>
        <w:t>deste artigo será aplicado</w:t>
      </w:r>
      <w:r w:rsidR="00A77586">
        <w:rPr>
          <w:rFonts w:ascii="Tahoma" w:eastAsia="Tahoma" w:hAnsi="Tahoma" w:cs="Tahoma"/>
        </w:rPr>
        <w:t xml:space="preserve"> mediante</w:t>
      </w:r>
      <w:r>
        <w:rPr>
          <w:rFonts w:ascii="Tahoma" w:eastAsia="Tahoma" w:hAnsi="Tahoma" w:cs="Tahoma"/>
        </w:rPr>
        <w:t xml:space="preserve">: </w:t>
      </w:r>
    </w:p>
    <w:p w:rsidR="006174BB" w:rsidRDefault="006174BB" w:rsidP="00A77586">
      <w:pPr>
        <w:spacing w:line="276" w:lineRule="auto"/>
        <w:ind w:left="1713"/>
        <w:jc w:val="both"/>
        <w:rPr>
          <w:rFonts w:ascii="Tahoma" w:eastAsia="Tahoma" w:hAnsi="Tahoma" w:cs="Tahoma"/>
        </w:rPr>
      </w:pPr>
    </w:p>
    <w:p w:rsidR="00565984" w:rsidRPr="002836A6" w:rsidRDefault="00242848" w:rsidP="00A77586">
      <w:pPr>
        <w:spacing w:line="276" w:lineRule="auto"/>
        <w:ind w:left="1713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I </w:t>
      </w:r>
      <w:r w:rsidRPr="002836A6">
        <w:rPr>
          <w:rFonts w:ascii="Tahoma" w:eastAsia="Tahoma" w:hAnsi="Tahoma" w:cs="Tahoma"/>
        </w:rPr>
        <w:t xml:space="preserve">- </w:t>
      </w:r>
      <w:r w:rsidRPr="00610F73">
        <w:rPr>
          <w:rFonts w:ascii="Tahoma" w:eastAsia="Tahoma" w:hAnsi="Tahoma" w:cs="Tahoma"/>
        </w:rPr>
        <w:t xml:space="preserve">nas áreas definidas no </w:t>
      </w:r>
      <w:r w:rsidR="002836A6" w:rsidRPr="00610F73">
        <w:rPr>
          <w:rFonts w:ascii="Tahoma" w:hAnsi="Tahoma" w:cs="Tahoma"/>
        </w:rPr>
        <w:t xml:space="preserve">de acordo com os quadros III, </w:t>
      </w:r>
      <w:proofErr w:type="spellStart"/>
      <w:r w:rsidR="002836A6" w:rsidRPr="00610F73">
        <w:rPr>
          <w:rFonts w:ascii="Tahoma" w:hAnsi="Tahoma" w:cs="Tahoma"/>
        </w:rPr>
        <w:t>III-a</w:t>
      </w:r>
      <w:proofErr w:type="spellEnd"/>
      <w:r w:rsidR="002836A6" w:rsidRPr="00610F73">
        <w:rPr>
          <w:rFonts w:ascii="Tahoma" w:hAnsi="Tahoma" w:cs="Tahoma"/>
        </w:rPr>
        <w:t xml:space="preserve"> e IV anexos desta Lei Urbanística</w:t>
      </w:r>
      <w:r w:rsidR="00EE7BEE" w:rsidRPr="00610F73">
        <w:rPr>
          <w:rFonts w:ascii="Tahoma" w:hAnsi="Tahoma" w:cs="Tahoma"/>
        </w:rPr>
        <w:t xml:space="preserve">, que </w:t>
      </w:r>
      <w:r w:rsidR="00AB386B" w:rsidRPr="00610F73">
        <w:rPr>
          <w:rFonts w:ascii="Tahoma" w:hAnsi="Tahoma" w:cs="Tahoma"/>
        </w:rPr>
        <w:t>de preferência</w:t>
      </w:r>
      <w:r w:rsidR="00AB386B" w:rsidRPr="00610F73">
        <w:rPr>
          <w:rFonts w:ascii="Tahoma" w:eastAsia="Tahoma" w:hAnsi="Tahoma" w:cs="Tahoma"/>
        </w:rPr>
        <w:t xml:space="preserve"> estejam localizadas nas extremidades das respectivas linhas</w:t>
      </w:r>
      <w:r w:rsidR="00EE7BEE" w:rsidRPr="00610F73">
        <w:rPr>
          <w:rFonts w:ascii="Tahoma" w:eastAsia="Tahoma" w:hAnsi="Tahoma" w:cs="Tahoma"/>
        </w:rPr>
        <w:t xml:space="preserve"> </w:t>
      </w:r>
      <w:r w:rsidR="00EE7BEE" w:rsidRPr="00610F73">
        <w:rPr>
          <w:rFonts w:ascii="Tahoma" w:hAnsi="Tahoma" w:cs="Tahoma"/>
          <w:shd w:val="clear" w:color="auto" w:fill="FFFFFF"/>
        </w:rPr>
        <w:t>de transporte público coletivo</w:t>
      </w:r>
      <w:r w:rsidR="00A00E40" w:rsidRPr="00610F73">
        <w:rPr>
          <w:rFonts w:ascii="Tahoma" w:hAnsi="Tahoma" w:cs="Tahoma"/>
          <w:shd w:val="clear" w:color="auto" w:fill="FFFFFF"/>
        </w:rPr>
        <w:t>- TPC</w:t>
      </w:r>
      <w:r w:rsidRPr="002836A6">
        <w:rPr>
          <w:rFonts w:ascii="Tahoma" w:eastAsia="Tahoma" w:hAnsi="Tahoma" w:cs="Tahoma"/>
        </w:rPr>
        <w:t xml:space="preserve">; </w:t>
      </w:r>
    </w:p>
    <w:p w:rsidR="00A00E40" w:rsidRDefault="00A00E40" w:rsidP="00A77586">
      <w:pPr>
        <w:spacing w:line="276" w:lineRule="auto"/>
        <w:ind w:left="1713"/>
        <w:jc w:val="both"/>
        <w:rPr>
          <w:rFonts w:ascii="Tahoma" w:eastAsia="Tahoma" w:hAnsi="Tahoma" w:cs="Tahoma"/>
        </w:rPr>
      </w:pPr>
    </w:p>
    <w:p w:rsidR="00565984" w:rsidRPr="00EE7BEE" w:rsidRDefault="00242848" w:rsidP="00A77586">
      <w:pPr>
        <w:spacing w:line="276" w:lineRule="auto"/>
        <w:ind w:left="1713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II - </w:t>
      </w:r>
      <w:r w:rsidRPr="00EE7BEE">
        <w:rPr>
          <w:rFonts w:ascii="Tahoma" w:eastAsia="Tahoma" w:hAnsi="Tahoma" w:cs="Tahoma"/>
        </w:rPr>
        <w:t xml:space="preserve">nas quadras localizadas num raio de </w:t>
      </w:r>
      <w:r w:rsidR="00A00E40">
        <w:rPr>
          <w:rFonts w:ascii="Tahoma" w:eastAsia="Tahoma" w:hAnsi="Tahoma" w:cs="Tahoma"/>
        </w:rPr>
        <w:t xml:space="preserve">até </w:t>
      </w:r>
      <w:r w:rsidRPr="00EE7BEE">
        <w:rPr>
          <w:rFonts w:ascii="Tahoma" w:eastAsia="Tahoma" w:hAnsi="Tahoma" w:cs="Tahoma"/>
        </w:rPr>
        <w:t xml:space="preserve">600m (seiscentos metros) </w:t>
      </w:r>
      <w:r w:rsidR="00AB386B" w:rsidRPr="00EE7BEE">
        <w:rPr>
          <w:rFonts w:ascii="Tahoma" w:eastAsia="Tahoma" w:hAnsi="Tahoma" w:cs="Tahoma"/>
        </w:rPr>
        <w:t xml:space="preserve">das </w:t>
      </w:r>
      <w:r w:rsidR="00AB386B" w:rsidRPr="00EE7BEE">
        <w:rPr>
          <w:rFonts w:ascii="Tahoma" w:hAnsi="Tahoma" w:cs="Tahoma"/>
          <w:shd w:val="clear" w:color="auto" w:fill="FFFFFF"/>
        </w:rPr>
        <w:t>estações de</w:t>
      </w:r>
      <w:r w:rsidR="00EE7BEE">
        <w:rPr>
          <w:rFonts w:ascii="Tahoma" w:hAnsi="Tahoma" w:cs="Tahoma"/>
          <w:shd w:val="clear" w:color="auto" w:fill="FFFFFF"/>
        </w:rPr>
        <w:t xml:space="preserve"> TPC</w:t>
      </w:r>
      <w:r w:rsidR="00AB386B" w:rsidRPr="00EE7BEE">
        <w:rPr>
          <w:rFonts w:ascii="Tahoma" w:hAnsi="Tahoma" w:cs="Tahoma"/>
          <w:shd w:val="clear" w:color="auto" w:fill="FFFFFF"/>
        </w:rPr>
        <w:t>,</w:t>
      </w:r>
      <w:r w:rsidR="00AB386B" w:rsidRPr="00EE7BEE">
        <w:rPr>
          <w:rFonts w:ascii="Tahoma" w:eastAsia="Tahoma" w:hAnsi="Tahoma" w:cs="Tahoma"/>
        </w:rPr>
        <w:t xml:space="preserve"> </w:t>
      </w:r>
      <w:r w:rsidRPr="00EE7BEE">
        <w:rPr>
          <w:rFonts w:ascii="Tahoma" w:eastAsia="Tahoma" w:hAnsi="Tahoma" w:cs="Tahoma"/>
        </w:rPr>
        <w:t>ou que tenham conexão com outra</w:t>
      </w:r>
      <w:r w:rsidR="0061253E">
        <w:rPr>
          <w:rFonts w:ascii="Tahoma" w:eastAsia="Tahoma" w:hAnsi="Tahoma" w:cs="Tahoma"/>
        </w:rPr>
        <w:t>s</w:t>
      </w:r>
      <w:r w:rsidRPr="00EE7BEE">
        <w:rPr>
          <w:rFonts w:ascii="Tahoma" w:eastAsia="Tahoma" w:hAnsi="Tahoma" w:cs="Tahoma"/>
        </w:rPr>
        <w:t xml:space="preserve"> linha</w:t>
      </w:r>
      <w:r w:rsidR="00EE7BEE">
        <w:rPr>
          <w:rFonts w:ascii="Tahoma" w:eastAsia="Tahoma" w:hAnsi="Tahoma" w:cs="Tahoma"/>
        </w:rPr>
        <w:t>s de TPC</w:t>
      </w:r>
      <w:r w:rsidRPr="00EE7BEE">
        <w:rPr>
          <w:rFonts w:ascii="Tahoma" w:eastAsia="Tahoma" w:hAnsi="Tahoma" w:cs="Tahoma"/>
        </w:rPr>
        <w:t xml:space="preserve">. </w:t>
      </w:r>
    </w:p>
    <w:p w:rsidR="00565984" w:rsidRDefault="00565984" w:rsidP="00A77586">
      <w:pPr>
        <w:spacing w:line="276" w:lineRule="auto"/>
        <w:ind w:left="1713"/>
        <w:jc w:val="both"/>
        <w:rPr>
          <w:rFonts w:ascii="Tahoma" w:eastAsia="Tahoma" w:hAnsi="Tahoma" w:cs="Tahoma"/>
        </w:rPr>
      </w:pPr>
    </w:p>
    <w:p w:rsidR="00565984" w:rsidRDefault="00242848" w:rsidP="00A77586">
      <w:pPr>
        <w:spacing w:line="276" w:lineRule="auto"/>
        <w:ind w:left="1713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lastRenderedPageBreak/>
        <w:t xml:space="preserve">§ </w:t>
      </w:r>
      <w:r w:rsidR="002836A6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 xml:space="preserve">º A incidência do incentivo na hipótese prevista no inciso II do § </w:t>
      </w:r>
      <w:r w:rsidR="002836A6">
        <w:rPr>
          <w:rFonts w:ascii="Tahoma" w:eastAsia="Tahoma" w:hAnsi="Tahoma" w:cs="Tahoma"/>
        </w:rPr>
        <w:t>2</w:t>
      </w:r>
      <w:r>
        <w:rPr>
          <w:rFonts w:ascii="Tahoma" w:eastAsia="Tahoma" w:hAnsi="Tahoma" w:cs="Tahoma"/>
        </w:rPr>
        <w:t xml:space="preserve">º deste artigo será declarada por decreto que identificará a localização das novas estações, obedecida </w:t>
      </w:r>
      <w:r w:rsidR="00610F73">
        <w:rPr>
          <w:rFonts w:ascii="Tahoma" w:eastAsia="Tahoma" w:hAnsi="Tahoma" w:cs="Tahoma"/>
        </w:rPr>
        <w:t>à</w:t>
      </w:r>
      <w:r>
        <w:rPr>
          <w:rFonts w:ascii="Tahoma" w:eastAsia="Tahoma" w:hAnsi="Tahoma" w:cs="Tahoma"/>
        </w:rPr>
        <w:t xml:space="preserve"> regra estabelecida nesta lei</w:t>
      </w:r>
      <w:r w:rsidR="006174BB">
        <w:rPr>
          <w:rFonts w:ascii="Tahoma" w:eastAsia="Tahoma" w:hAnsi="Tahoma" w:cs="Tahoma"/>
        </w:rPr>
        <w:t>;</w:t>
      </w:r>
    </w:p>
    <w:p w:rsidR="002836A6" w:rsidRDefault="002836A6" w:rsidP="00A77586">
      <w:pPr>
        <w:spacing w:line="276" w:lineRule="auto"/>
        <w:ind w:left="1713"/>
        <w:jc w:val="both"/>
        <w:rPr>
          <w:rFonts w:ascii="Tahoma" w:eastAsia="Tahoma" w:hAnsi="Tahoma" w:cs="Tahoma"/>
        </w:rPr>
      </w:pPr>
    </w:p>
    <w:p w:rsidR="00AB386B" w:rsidRPr="00610F73" w:rsidRDefault="00AB386B" w:rsidP="00A77586">
      <w:pPr>
        <w:spacing w:line="276" w:lineRule="auto"/>
        <w:ind w:left="1713"/>
        <w:jc w:val="both"/>
        <w:rPr>
          <w:rFonts w:ascii="Tahoma" w:hAnsi="Tahoma" w:cs="Tahoma"/>
          <w:shd w:val="clear" w:color="auto" w:fill="FFFFFF"/>
        </w:rPr>
      </w:pPr>
      <w:r>
        <w:rPr>
          <w:rFonts w:ascii="Tahoma" w:eastAsia="Tahoma" w:hAnsi="Tahoma" w:cs="Tahoma"/>
        </w:rPr>
        <w:t xml:space="preserve">§ </w:t>
      </w:r>
      <w:r w:rsidRPr="00610F73">
        <w:rPr>
          <w:rFonts w:ascii="Tahoma" w:eastAsia="Tahoma" w:hAnsi="Tahoma" w:cs="Tahoma"/>
        </w:rPr>
        <w:t xml:space="preserve">4º </w:t>
      </w:r>
      <w:r w:rsidRPr="00610F73">
        <w:rPr>
          <w:rFonts w:ascii="Tahoma" w:hAnsi="Tahoma" w:cs="Tahoma"/>
          <w:shd w:val="clear" w:color="auto" w:fill="FFFFFF"/>
        </w:rPr>
        <w:t xml:space="preserve">Nos edifícios garagem distantes até </w:t>
      </w:r>
      <w:r w:rsidR="00A00E40" w:rsidRPr="00610F73">
        <w:rPr>
          <w:rFonts w:ascii="Tahoma" w:hAnsi="Tahoma" w:cs="Tahoma"/>
          <w:shd w:val="clear" w:color="auto" w:fill="FFFFFF"/>
        </w:rPr>
        <w:t>600</w:t>
      </w:r>
      <w:r w:rsidRPr="00610F73">
        <w:rPr>
          <w:rFonts w:ascii="Tahoma" w:hAnsi="Tahoma" w:cs="Tahoma"/>
          <w:shd w:val="clear" w:color="auto" w:fill="FFFFFF"/>
        </w:rPr>
        <w:t>m (</w:t>
      </w:r>
      <w:r w:rsidR="0061253E" w:rsidRPr="00610F73">
        <w:rPr>
          <w:rFonts w:ascii="Tahoma" w:eastAsia="Tahoma" w:hAnsi="Tahoma" w:cs="Tahoma"/>
        </w:rPr>
        <w:t>seiscentos</w:t>
      </w:r>
      <w:r w:rsidRPr="00610F73">
        <w:rPr>
          <w:rFonts w:ascii="Tahoma" w:hAnsi="Tahoma" w:cs="Tahoma"/>
          <w:shd w:val="clear" w:color="auto" w:fill="FFFFFF"/>
        </w:rPr>
        <w:t xml:space="preserve"> metros) de caminhada de estações de transporte público coletivo, serão consideradas não computáveis 75% (setenta e cinco por cento) da área total de construção dos edifícios garagem, incluindo a área de circulação interna de veículos, desde que as áreas edificadas no pavimento térreo sejam destinadas a usos não residenciais e que seja aplicada a fachada ativa</w:t>
      </w:r>
      <w:r w:rsidR="001247C9" w:rsidRPr="00610F73">
        <w:rPr>
          <w:rFonts w:ascii="Tahoma" w:hAnsi="Tahoma" w:cs="Tahoma"/>
          <w:shd w:val="clear" w:color="auto" w:fill="FFFFFF"/>
        </w:rPr>
        <w:t>;</w:t>
      </w:r>
    </w:p>
    <w:p w:rsidR="00A77586" w:rsidRDefault="00A77586" w:rsidP="00A77586">
      <w:pPr>
        <w:spacing w:line="276" w:lineRule="auto"/>
        <w:ind w:left="1713"/>
        <w:jc w:val="both"/>
        <w:rPr>
          <w:rFonts w:ascii="Tahoma" w:eastAsia="Tahoma" w:hAnsi="Tahoma" w:cs="Tahoma"/>
        </w:rPr>
      </w:pPr>
    </w:p>
    <w:p w:rsidR="00A77586" w:rsidRDefault="00A77586" w:rsidP="00A77586">
      <w:pPr>
        <w:spacing w:line="276" w:lineRule="auto"/>
        <w:ind w:left="1713"/>
        <w:jc w:val="both"/>
        <w:rPr>
          <w:rFonts w:ascii="Tahoma" w:hAnsi="Tahoma" w:cs="Tahoma"/>
          <w:color w:val="333333"/>
          <w:shd w:val="clear" w:color="auto" w:fill="FFFFFF"/>
        </w:rPr>
      </w:pPr>
      <w:r>
        <w:rPr>
          <w:rFonts w:ascii="Tahoma" w:eastAsia="Tahoma" w:hAnsi="Tahoma" w:cs="Tahoma"/>
        </w:rPr>
        <w:t>§ 5º Auxiliar na p</w:t>
      </w:r>
      <w:r w:rsidRPr="00A77586">
        <w:rPr>
          <w:rFonts w:ascii="Tahoma" w:hAnsi="Tahoma" w:cs="Tahoma"/>
          <w:shd w:val="clear" w:color="auto" w:fill="FFFFFF"/>
        </w:rPr>
        <w:t>romoção dos modos de transporte não motorizados, em especial pela adoção de estratégias que incentivem o uso da bicicleta</w:t>
      </w:r>
      <w:r>
        <w:rPr>
          <w:rFonts w:ascii="Tahoma" w:hAnsi="Tahoma" w:cs="Tahoma"/>
          <w:shd w:val="clear" w:color="auto" w:fill="FFFFFF"/>
        </w:rPr>
        <w:t xml:space="preserve">, ofertando em contrapartida </w:t>
      </w:r>
      <w:proofErr w:type="gramStart"/>
      <w:r>
        <w:rPr>
          <w:rFonts w:ascii="Tahoma" w:hAnsi="Tahoma" w:cs="Tahoma"/>
          <w:shd w:val="clear" w:color="auto" w:fill="FFFFFF"/>
        </w:rPr>
        <w:t>2</w:t>
      </w:r>
      <w:proofErr w:type="gramEnd"/>
      <w:r>
        <w:rPr>
          <w:rFonts w:ascii="Tahoma" w:hAnsi="Tahoma" w:cs="Tahoma"/>
          <w:shd w:val="clear" w:color="auto" w:fill="FFFFFF"/>
        </w:rPr>
        <w:t xml:space="preserve"> vagas de bicicleta, para cada ve</w:t>
      </w:r>
      <w:r w:rsidR="0061253E">
        <w:rPr>
          <w:rFonts w:ascii="Tahoma" w:hAnsi="Tahoma" w:cs="Tahoma"/>
          <w:shd w:val="clear" w:color="auto" w:fill="FFFFFF"/>
        </w:rPr>
        <w:t>í</w:t>
      </w:r>
      <w:r>
        <w:rPr>
          <w:rFonts w:ascii="Tahoma" w:hAnsi="Tahoma" w:cs="Tahoma"/>
          <w:shd w:val="clear" w:color="auto" w:fill="FFFFFF"/>
        </w:rPr>
        <w:t>culo automotor nos edifícios g</w:t>
      </w:r>
      <w:r w:rsidR="0061253E">
        <w:rPr>
          <w:rFonts w:ascii="Tahoma" w:hAnsi="Tahoma" w:cs="Tahoma"/>
          <w:shd w:val="clear" w:color="auto" w:fill="FFFFFF"/>
        </w:rPr>
        <w:t>a</w:t>
      </w:r>
      <w:r>
        <w:rPr>
          <w:rFonts w:ascii="Tahoma" w:hAnsi="Tahoma" w:cs="Tahoma"/>
          <w:shd w:val="clear" w:color="auto" w:fill="FFFFFF"/>
        </w:rPr>
        <w:t>ragens</w:t>
      </w:r>
      <w:r w:rsidRPr="00A77586">
        <w:rPr>
          <w:rFonts w:ascii="Tahoma" w:hAnsi="Tahoma" w:cs="Tahoma"/>
          <w:shd w:val="clear" w:color="auto" w:fill="FFFFFF"/>
        </w:rPr>
        <w:t>;</w:t>
      </w:r>
    </w:p>
    <w:p w:rsidR="00A77586" w:rsidRDefault="00A77586" w:rsidP="00A77586">
      <w:pPr>
        <w:spacing w:line="276" w:lineRule="auto"/>
        <w:ind w:left="1713"/>
        <w:jc w:val="both"/>
        <w:rPr>
          <w:rFonts w:ascii="Tahoma" w:eastAsia="Tahoma" w:hAnsi="Tahoma" w:cs="Tahoma"/>
        </w:rPr>
      </w:pPr>
    </w:p>
    <w:p w:rsidR="0061253E" w:rsidRDefault="001247C9" w:rsidP="0061253E">
      <w:pPr>
        <w:spacing w:line="276" w:lineRule="auto"/>
        <w:ind w:left="1713"/>
        <w:jc w:val="both"/>
        <w:rPr>
          <w:rFonts w:ascii="Tahoma" w:hAnsi="Tahoma" w:cs="Tahoma"/>
          <w:color w:val="000000"/>
        </w:rPr>
      </w:pPr>
      <w:r>
        <w:rPr>
          <w:rFonts w:ascii="Tahoma" w:eastAsia="Tahoma" w:hAnsi="Tahoma" w:cs="Tahoma"/>
        </w:rPr>
        <w:t xml:space="preserve">§ </w:t>
      </w:r>
      <w:r w:rsidR="00A77586">
        <w:rPr>
          <w:rFonts w:ascii="Tahoma" w:eastAsia="Tahoma" w:hAnsi="Tahoma" w:cs="Tahoma"/>
        </w:rPr>
        <w:t>6</w:t>
      </w:r>
      <w:r>
        <w:rPr>
          <w:rFonts w:ascii="Tahoma" w:eastAsia="Tahoma" w:hAnsi="Tahoma" w:cs="Tahoma"/>
        </w:rPr>
        <w:t xml:space="preserve">º </w:t>
      </w:r>
      <w:r w:rsidR="00EE7BEE">
        <w:rPr>
          <w:rFonts w:ascii="Tahoma" w:eastAsia="Tahoma" w:hAnsi="Tahoma" w:cs="Tahoma"/>
        </w:rPr>
        <w:t xml:space="preserve">Fica </w:t>
      </w:r>
      <w:r w:rsidR="00A00E40">
        <w:rPr>
          <w:rFonts w:ascii="Tahoma" w:eastAsia="Tahoma" w:hAnsi="Tahoma" w:cs="Tahoma"/>
        </w:rPr>
        <w:t xml:space="preserve">ainda </w:t>
      </w:r>
      <w:r w:rsidR="00EE7BEE">
        <w:rPr>
          <w:rFonts w:ascii="Tahoma" w:eastAsia="Tahoma" w:hAnsi="Tahoma" w:cs="Tahoma"/>
        </w:rPr>
        <w:t>autorizado a</w:t>
      </w:r>
      <w:r w:rsidR="00EE7BEE" w:rsidRPr="006174BB">
        <w:rPr>
          <w:rFonts w:ascii="Tahoma" w:hAnsi="Tahoma" w:cs="Tahoma"/>
          <w:color w:val="000000"/>
        </w:rPr>
        <w:t xml:space="preserve"> Parceria </w:t>
      </w:r>
      <w:proofErr w:type="gramStart"/>
      <w:r w:rsidR="00EE7BEE" w:rsidRPr="006174BB">
        <w:rPr>
          <w:rFonts w:ascii="Tahoma" w:hAnsi="Tahoma" w:cs="Tahoma"/>
          <w:color w:val="000000"/>
        </w:rPr>
        <w:t>Público Privada</w:t>
      </w:r>
      <w:proofErr w:type="gramEnd"/>
      <w:r w:rsidR="00EE7BEE" w:rsidRPr="006174BB">
        <w:rPr>
          <w:rFonts w:ascii="Tahoma" w:hAnsi="Tahoma" w:cs="Tahoma"/>
          <w:color w:val="000000"/>
        </w:rPr>
        <w:t xml:space="preserve"> (PPP) para a criação de edifícios garage</w:t>
      </w:r>
      <w:r w:rsidR="00EE7BEE">
        <w:rPr>
          <w:rFonts w:ascii="Tahoma" w:hAnsi="Tahoma" w:cs="Tahoma"/>
          <w:color w:val="000000"/>
        </w:rPr>
        <w:t xml:space="preserve">ns, dentro dos parâmetros </w:t>
      </w:r>
      <w:r>
        <w:rPr>
          <w:rFonts w:ascii="Tahoma" w:hAnsi="Tahoma" w:cs="Tahoma"/>
          <w:color w:val="000000"/>
        </w:rPr>
        <w:t>estabelecidos neste artigo;</w:t>
      </w:r>
    </w:p>
    <w:p w:rsidR="0061253E" w:rsidRDefault="0061253E" w:rsidP="0061253E">
      <w:pPr>
        <w:spacing w:line="276" w:lineRule="auto"/>
        <w:ind w:left="1713"/>
        <w:jc w:val="both"/>
        <w:rPr>
          <w:rFonts w:ascii="Tahoma" w:hAnsi="Tahoma" w:cs="Tahoma"/>
          <w:color w:val="000000"/>
        </w:rPr>
      </w:pPr>
    </w:p>
    <w:p w:rsidR="00A77586" w:rsidRPr="0061253E" w:rsidRDefault="00A77586" w:rsidP="0061253E">
      <w:pPr>
        <w:spacing w:line="276" w:lineRule="auto"/>
        <w:ind w:left="1713"/>
        <w:jc w:val="both"/>
        <w:rPr>
          <w:rFonts w:ascii="Tahoma" w:hAnsi="Tahoma" w:cs="Tahoma"/>
        </w:rPr>
      </w:pPr>
      <w:r w:rsidRPr="0061253E">
        <w:rPr>
          <w:rFonts w:ascii="Tahoma" w:hAnsi="Tahoma" w:cs="Tahoma"/>
        </w:rPr>
        <w:t>§ 7º</w:t>
      </w:r>
      <w:r w:rsidR="0061253E" w:rsidRPr="0061253E">
        <w:rPr>
          <w:rFonts w:ascii="Tahoma" w:hAnsi="Tahoma" w:cs="Tahoma"/>
        </w:rPr>
        <w:t xml:space="preserve"> </w:t>
      </w:r>
      <w:r w:rsidRPr="0061253E">
        <w:rPr>
          <w:rFonts w:ascii="Tahoma" w:hAnsi="Tahoma" w:cs="Tahoma"/>
        </w:rPr>
        <w:t>Os Edifícios Garagem não poderão localizar-se em vias locais, independente da zona de uso</w:t>
      </w:r>
      <w:r w:rsidR="0061253E">
        <w:rPr>
          <w:rFonts w:ascii="Tahoma" w:hAnsi="Tahoma" w:cs="Tahoma"/>
        </w:rPr>
        <w:t>.</w:t>
      </w:r>
    </w:p>
    <w:p w:rsidR="001247C9" w:rsidRPr="0061253E" w:rsidRDefault="001247C9" w:rsidP="0061253E">
      <w:pPr>
        <w:rPr>
          <w:rFonts w:ascii="Tahoma" w:hAnsi="Tahoma" w:cs="Tahoma"/>
        </w:rPr>
      </w:pPr>
    </w:p>
    <w:p w:rsidR="00565984" w:rsidRDefault="00565984">
      <w:pPr>
        <w:ind w:left="567"/>
        <w:jc w:val="right"/>
        <w:rPr>
          <w:rFonts w:ascii="Tahoma" w:eastAsia="Tahoma" w:hAnsi="Tahoma" w:cs="Tahoma"/>
        </w:rPr>
      </w:pPr>
    </w:p>
    <w:p w:rsidR="00EE7BEE" w:rsidRDefault="00EE7BEE">
      <w:pPr>
        <w:ind w:left="567"/>
        <w:jc w:val="right"/>
        <w:rPr>
          <w:rFonts w:ascii="Tahoma" w:eastAsia="Tahoma" w:hAnsi="Tahoma" w:cs="Tahoma"/>
        </w:rPr>
      </w:pPr>
    </w:p>
    <w:p w:rsidR="00EE7BEE" w:rsidRDefault="00EE7BEE">
      <w:pPr>
        <w:ind w:left="567"/>
        <w:jc w:val="right"/>
        <w:rPr>
          <w:rFonts w:ascii="Tahoma" w:eastAsia="Tahoma" w:hAnsi="Tahoma" w:cs="Tahoma"/>
        </w:rPr>
      </w:pPr>
    </w:p>
    <w:p w:rsidR="00565984" w:rsidRDefault="00242848">
      <w:pPr>
        <w:ind w:left="567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Sala das Sessões, 2</w:t>
      </w:r>
      <w:r w:rsidR="00EE7BEE">
        <w:rPr>
          <w:rFonts w:ascii="Tahoma" w:eastAsia="Tahoma" w:hAnsi="Tahoma" w:cs="Tahoma"/>
        </w:rPr>
        <w:t>2</w:t>
      </w:r>
      <w:r>
        <w:rPr>
          <w:rFonts w:ascii="Tahoma" w:eastAsia="Tahoma" w:hAnsi="Tahoma" w:cs="Tahoma"/>
        </w:rPr>
        <w:t xml:space="preserve"> de </w:t>
      </w:r>
      <w:r w:rsidR="00EE7BEE">
        <w:rPr>
          <w:rFonts w:ascii="Tahoma" w:eastAsia="Tahoma" w:hAnsi="Tahoma" w:cs="Tahoma"/>
        </w:rPr>
        <w:t>fevereiro</w:t>
      </w:r>
      <w:r>
        <w:rPr>
          <w:rFonts w:ascii="Tahoma" w:eastAsia="Tahoma" w:hAnsi="Tahoma" w:cs="Tahoma"/>
        </w:rPr>
        <w:t xml:space="preserve"> de 202</w:t>
      </w:r>
      <w:r w:rsidR="00EE7BEE">
        <w:rPr>
          <w:rFonts w:ascii="Tahoma" w:eastAsia="Tahoma" w:hAnsi="Tahoma" w:cs="Tahoma"/>
        </w:rPr>
        <w:t>4</w:t>
      </w:r>
      <w:r>
        <w:rPr>
          <w:rFonts w:ascii="Tahoma" w:eastAsia="Tahoma" w:hAnsi="Tahoma" w:cs="Tahoma"/>
        </w:rPr>
        <w:t>.</w:t>
      </w:r>
    </w:p>
    <w:p w:rsidR="00565984" w:rsidRDefault="00565984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565984" w:rsidRDefault="00565984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565984" w:rsidRDefault="00565984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565984" w:rsidRDefault="00565984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565984" w:rsidRDefault="00565984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565984" w:rsidRDefault="00565984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565984" w:rsidRDefault="00242848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Daniel Marques</w:t>
      </w:r>
    </w:p>
    <w:p w:rsidR="00565984" w:rsidRDefault="00565984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565984" w:rsidRDefault="00242848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Vereador </w:t>
      </w:r>
    </w:p>
    <w:p w:rsidR="00565984" w:rsidRDefault="00565984">
      <w:pPr>
        <w:rPr>
          <w:rFonts w:ascii="Tahoma" w:eastAsia="Tahoma" w:hAnsi="Tahoma" w:cs="Tahoma"/>
          <w:b/>
          <w:sz w:val="22"/>
          <w:szCs w:val="22"/>
        </w:rPr>
      </w:pPr>
    </w:p>
    <w:p w:rsidR="00A00E40" w:rsidRDefault="00A00E40">
      <w:pPr>
        <w:rPr>
          <w:rFonts w:ascii="Tahoma" w:eastAsia="Tahoma" w:hAnsi="Tahoma" w:cs="Tahoma"/>
          <w:b/>
          <w:sz w:val="22"/>
          <w:szCs w:val="22"/>
        </w:rPr>
      </w:pPr>
    </w:p>
    <w:p w:rsidR="00A00E40" w:rsidRDefault="00A00E40">
      <w:pPr>
        <w:rPr>
          <w:rFonts w:ascii="Tahoma" w:eastAsia="Tahoma" w:hAnsi="Tahoma" w:cs="Tahoma"/>
          <w:b/>
          <w:sz w:val="22"/>
          <w:szCs w:val="22"/>
        </w:rPr>
      </w:pPr>
    </w:p>
    <w:p w:rsidR="00A00E40" w:rsidRDefault="00A00E40">
      <w:pPr>
        <w:rPr>
          <w:rFonts w:ascii="Tahoma" w:eastAsia="Tahoma" w:hAnsi="Tahoma" w:cs="Tahoma"/>
          <w:b/>
          <w:sz w:val="22"/>
          <w:szCs w:val="22"/>
        </w:rPr>
      </w:pPr>
    </w:p>
    <w:p w:rsidR="00565984" w:rsidRDefault="00242848">
      <w:pPr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JUSTIFICATIVA:</w:t>
      </w:r>
    </w:p>
    <w:p w:rsidR="00565984" w:rsidRDefault="00565984">
      <w:pPr>
        <w:rPr>
          <w:rFonts w:ascii="Tahoma" w:eastAsia="Tahoma" w:hAnsi="Tahoma" w:cs="Tahoma"/>
          <w:b/>
          <w:sz w:val="22"/>
          <w:szCs w:val="22"/>
        </w:rPr>
      </w:pPr>
    </w:p>
    <w:p w:rsidR="00565984" w:rsidRPr="00EE7BEE" w:rsidRDefault="00242848" w:rsidP="00EE7BEE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Com a popularização do automóvel, que marcou o século XX, a dependência das famílias desse meio de transporte tem sido revelada pela quantidade exacerbada de veículos privados nas ruas de Niterói, causando os </w:t>
      </w:r>
      <w:proofErr w:type="spellStart"/>
      <w:r>
        <w:rPr>
          <w:rFonts w:ascii="Tahoma" w:eastAsia="Tahoma" w:hAnsi="Tahoma" w:cs="Tahoma"/>
        </w:rPr>
        <w:t>frequentes</w:t>
      </w:r>
      <w:proofErr w:type="spellEnd"/>
      <w:r>
        <w:rPr>
          <w:rFonts w:ascii="Tahoma" w:eastAsia="Tahoma" w:hAnsi="Tahoma" w:cs="Tahoma"/>
        </w:rPr>
        <w:t xml:space="preserve"> congestionamentos que atrasam a vida</w:t>
      </w:r>
      <w:r>
        <w:rPr>
          <w:rFonts w:ascii="Tahoma" w:eastAsia="Tahoma" w:hAnsi="Tahoma" w:cs="Tahoma"/>
        </w:rPr>
        <w:t xml:space="preserve"> do niteroiense, quando precisa se locomover pela cidade. Essa dependência é historicamente explicada como uma </w:t>
      </w:r>
      <w:proofErr w:type="spellStart"/>
      <w:r>
        <w:rPr>
          <w:rFonts w:ascii="Tahoma" w:eastAsia="Tahoma" w:hAnsi="Tahoma" w:cs="Tahoma"/>
        </w:rPr>
        <w:t>consequência</w:t>
      </w:r>
      <w:proofErr w:type="spellEnd"/>
      <w:r>
        <w:rPr>
          <w:rFonts w:ascii="Tahoma" w:eastAsia="Tahoma" w:hAnsi="Tahoma" w:cs="Tahoma"/>
        </w:rPr>
        <w:t>, observada em todo o país, da expansão das malhas urbanas, da dilatação do percurso entre casa, trabalho e lazer, e da insuficiente,</w:t>
      </w:r>
      <w:r>
        <w:rPr>
          <w:rFonts w:ascii="Tahoma" w:eastAsia="Tahoma" w:hAnsi="Tahoma" w:cs="Tahoma"/>
        </w:rPr>
        <w:t xml:space="preserve"> ou deficiente, </w:t>
      </w:r>
      <w:r w:rsidRPr="00EE7BEE">
        <w:rPr>
          <w:rFonts w:ascii="Tahoma" w:eastAsia="Tahoma" w:hAnsi="Tahoma" w:cs="Tahoma"/>
        </w:rPr>
        <w:t xml:space="preserve">oferta de transporte público para suprir o deslocamento </w:t>
      </w:r>
      <w:proofErr w:type="gramStart"/>
      <w:r w:rsidRPr="00EE7BEE">
        <w:rPr>
          <w:rFonts w:ascii="Tahoma" w:eastAsia="Tahoma" w:hAnsi="Tahoma" w:cs="Tahoma"/>
        </w:rPr>
        <w:t>intra urbano</w:t>
      </w:r>
      <w:proofErr w:type="gramEnd"/>
      <w:r w:rsidRPr="00EE7BEE">
        <w:rPr>
          <w:rFonts w:ascii="Tahoma" w:eastAsia="Tahoma" w:hAnsi="Tahoma" w:cs="Tahoma"/>
        </w:rPr>
        <w:t xml:space="preserve"> e metropolitano. </w:t>
      </w:r>
    </w:p>
    <w:p w:rsidR="00EE7BEE" w:rsidRPr="001247C9" w:rsidRDefault="00EE7BEE" w:rsidP="001247C9">
      <w:pPr>
        <w:spacing w:line="360" w:lineRule="auto"/>
        <w:ind w:firstLine="720"/>
        <w:jc w:val="both"/>
        <w:rPr>
          <w:rFonts w:ascii="Tahoma" w:hAnsi="Tahoma" w:cs="Tahoma"/>
        </w:rPr>
      </w:pPr>
      <w:r w:rsidRPr="001247C9">
        <w:rPr>
          <w:rFonts w:ascii="Tahoma" w:hAnsi="Tahoma" w:cs="Tahoma"/>
        </w:rPr>
        <w:t xml:space="preserve">A mobilidade nas cidades brasileiras de médio e grande porte tem se caracterizado pela utilização cada vez mais ineficiente do espaço público em decorrência do aumento do uso do transporte individual motorizado – os automóveis e as motocicletas – e da redução da participação do transporte público coletivo (TPC). Como </w:t>
      </w:r>
      <w:r w:rsidR="0061253E" w:rsidRPr="001247C9">
        <w:rPr>
          <w:rFonts w:ascii="Tahoma" w:hAnsi="Tahoma" w:cs="Tahoma"/>
        </w:rPr>
        <w:t>resultado ocorre</w:t>
      </w:r>
      <w:r w:rsidRPr="001247C9">
        <w:rPr>
          <w:rFonts w:ascii="Tahoma" w:hAnsi="Tahoma" w:cs="Tahoma"/>
        </w:rPr>
        <w:t xml:space="preserve"> o aumento do congestionamento do tráfego, da emissão de gases poluentes e do efeito estufa, do número de acidentes de trânsito, dos custos dos transportes e a incapacidade de atender satisfatoriamente </w:t>
      </w:r>
      <w:r w:rsidR="0061253E">
        <w:rPr>
          <w:rFonts w:ascii="Tahoma" w:hAnsi="Tahoma" w:cs="Tahoma"/>
        </w:rPr>
        <w:t>à</w:t>
      </w:r>
      <w:r w:rsidRPr="001247C9">
        <w:rPr>
          <w:rFonts w:ascii="Tahoma" w:hAnsi="Tahoma" w:cs="Tahoma"/>
        </w:rPr>
        <w:t>s necessidades de locomoção da população.</w:t>
      </w:r>
    </w:p>
    <w:p w:rsidR="00EE7BEE" w:rsidRPr="001247C9" w:rsidRDefault="00EE7BEE" w:rsidP="001247C9">
      <w:pPr>
        <w:spacing w:line="360" w:lineRule="auto"/>
        <w:ind w:firstLine="720"/>
        <w:jc w:val="both"/>
        <w:rPr>
          <w:rFonts w:ascii="Tahoma" w:hAnsi="Tahoma" w:cs="Tahoma"/>
        </w:rPr>
      </w:pPr>
      <w:r w:rsidRPr="001247C9">
        <w:rPr>
          <w:rFonts w:ascii="Tahoma" w:hAnsi="Tahoma" w:cs="Tahoma"/>
        </w:rPr>
        <w:t>Dados do Sistema de Informações da Mobilidade Urbana da Associação Nacional de Transportes Públicos – ANTP, referentes a 2014, apontam nesta direção. Os custos dos acidentes de trânsito e da poluição foram estimados em R$ 26,1 bilhões para as cidades com mais de 60 mil habitantes. Apenas 20% desses custos estavam relacionados com os sistemas de transporte coletivo, enquanto 80% deles, com o transporte individual motorizado.</w:t>
      </w:r>
    </w:p>
    <w:p w:rsidR="001247C9" w:rsidRPr="001247C9" w:rsidRDefault="00EE7BEE" w:rsidP="001247C9">
      <w:pPr>
        <w:spacing w:line="360" w:lineRule="auto"/>
        <w:ind w:firstLine="720"/>
        <w:jc w:val="both"/>
        <w:rPr>
          <w:rFonts w:ascii="Tahoma" w:hAnsi="Tahoma" w:cs="Tahoma"/>
        </w:rPr>
      </w:pPr>
      <w:r w:rsidRPr="001247C9">
        <w:rPr>
          <w:rFonts w:ascii="Tahoma" w:hAnsi="Tahoma" w:cs="Tahoma"/>
        </w:rPr>
        <w:t>Nesse contexto, é necessário repensar o modelo vigente dando maior prioridade ao transporte não motorizado e ao TPC, promovendo a qualidade dos serviços e desestimulando o uso do transporte individual motorizado. </w:t>
      </w:r>
    </w:p>
    <w:p w:rsidR="00565984" w:rsidRPr="001247C9" w:rsidRDefault="00242848" w:rsidP="001247C9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 w:rsidRPr="001247C9">
        <w:rPr>
          <w:rFonts w:ascii="Tahoma" w:hAnsi="Tahoma" w:cs="Tahoma"/>
        </w:rPr>
        <w:t xml:space="preserve">A </w:t>
      </w:r>
      <w:r w:rsidRPr="001247C9">
        <w:rPr>
          <w:rFonts w:ascii="Tahoma" w:eastAsia="Tahoma" w:hAnsi="Tahoma" w:cs="Tahoma"/>
        </w:rPr>
        <w:t xml:space="preserve">quantidade excessiva de veículos particulares na </w:t>
      </w:r>
      <w:proofErr w:type="gramStart"/>
      <w:r w:rsidRPr="001247C9">
        <w:rPr>
          <w:rFonts w:ascii="Tahoma" w:eastAsia="Tahoma" w:hAnsi="Tahoma" w:cs="Tahoma"/>
        </w:rPr>
        <w:t>rua</w:t>
      </w:r>
      <w:proofErr w:type="gramEnd"/>
      <w:r w:rsidRPr="001247C9">
        <w:rPr>
          <w:rFonts w:ascii="Tahoma" w:eastAsia="Tahoma" w:hAnsi="Tahoma" w:cs="Tahoma"/>
        </w:rPr>
        <w:t xml:space="preserve"> de Niterói também provoca um aumento significativo da demanda por vagas de estacionamento, em espe</w:t>
      </w:r>
      <w:r w:rsidRPr="001247C9">
        <w:rPr>
          <w:rFonts w:ascii="Tahoma" w:eastAsia="Tahoma" w:hAnsi="Tahoma" w:cs="Tahoma"/>
        </w:rPr>
        <w:t xml:space="preserve">cial nas zonas de maior circulação de pessoas. </w:t>
      </w:r>
      <w:proofErr w:type="gramStart"/>
      <w:r w:rsidRPr="001247C9">
        <w:rPr>
          <w:rFonts w:ascii="Tahoma" w:eastAsia="Tahoma" w:hAnsi="Tahoma" w:cs="Tahoma"/>
        </w:rPr>
        <w:t xml:space="preserve">O uso de vagas nas ruas da cidade, em especial nos </w:t>
      </w:r>
      <w:proofErr w:type="spellStart"/>
      <w:r w:rsidRPr="001247C9">
        <w:rPr>
          <w:rFonts w:ascii="Tahoma" w:eastAsia="Tahoma" w:hAnsi="Tahoma" w:cs="Tahoma"/>
        </w:rPr>
        <w:t>polos</w:t>
      </w:r>
      <w:proofErr w:type="spellEnd"/>
      <w:r w:rsidRPr="001247C9">
        <w:rPr>
          <w:rFonts w:ascii="Tahoma" w:eastAsia="Tahoma" w:hAnsi="Tahoma" w:cs="Tahoma"/>
        </w:rPr>
        <w:t xml:space="preserve"> de maior movimentação, acabam</w:t>
      </w:r>
      <w:proofErr w:type="gramEnd"/>
      <w:r w:rsidRPr="001247C9">
        <w:rPr>
          <w:rFonts w:ascii="Tahoma" w:eastAsia="Tahoma" w:hAnsi="Tahoma" w:cs="Tahoma"/>
        </w:rPr>
        <w:t xml:space="preserve"> por piorar o cenário de tráfego de automóveis, ao limitar o </w:t>
      </w:r>
      <w:r w:rsidRPr="001247C9">
        <w:rPr>
          <w:rFonts w:ascii="Tahoma" w:eastAsia="Tahoma" w:hAnsi="Tahoma" w:cs="Tahoma"/>
        </w:rPr>
        <w:lastRenderedPageBreak/>
        <w:t xml:space="preserve">espaço da avenida, assim como no ato de diminuir a velocidade </w:t>
      </w:r>
      <w:r w:rsidRPr="001247C9">
        <w:rPr>
          <w:rFonts w:ascii="Tahoma" w:eastAsia="Tahoma" w:hAnsi="Tahoma" w:cs="Tahoma"/>
        </w:rPr>
        <w:t xml:space="preserve">para procurar um espaço disponível ou o movimento de entrar ou sair de uma vaga, que gera efeitos no deslocamento dos demais veículos. </w:t>
      </w:r>
    </w:p>
    <w:p w:rsidR="00EE7BEE" w:rsidRDefault="00EE7BEE">
      <w:pPr>
        <w:spacing w:line="360" w:lineRule="auto"/>
        <w:ind w:firstLine="720"/>
        <w:jc w:val="both"/>
        <w:rPr>
          <w:rFonts w:ascii="Tahoma" w:eastAsia="Tahoma" w:hAnsi="Tahoma" w:cs="Tahoma"/>
        </w:rPr>
      </w:pPr>
    </w:p>
    <w:p w:rsidR="00565984" w:rsidRDefault="00242848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Nesse sentido, o art. 214, parágrafo único, XV do Plano Diretor de Niterói (Lei nº 3.385/2019) afirma ser um dos objetiv</w:t>
      </w:r>
      <w:r>
        <w:rPr>
          <w:rFonts w:ascii="Tahoma" w:eastAsia="Tahoma" w:hAnsi="Tahoma" w:cs="Tahoma"/>
        </w:rPr>
        <w:t>os do Sistema de Mobilidade:</w:t>
      </w:r>
    </w:p>
    <w:p w:rsidR="00565984" w:rsidRDefault="00565984">
      <w:pPr>
        <w:spacing w:line="360" w:lineRule="auto"/>
        <w:ind w:firstLine="720"/>
        <w:jc w:val="both"/>
        <w:rPr>
          <w:rFonts w:ascii="Tahoma" w:eastAsia="Tahoma" w:hAnsi="Tahoma" w:cs="Tahoma"/>
        </w:rPr>
      </w:pPr>
    </w:p>
    <w:p w:rsidR="00565984" w:rsidRDefault="00242848">
      <w:pPr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“XV –</w:t>
      </w:r>
      <w:r>
        <w:rPr>
          <w:rFonts w:ascii="Tahoma" w:eastAsia="Tahoma" w:hAnsi="Tahoma" w:cs="Tahoma"/>
          <w:b/>
          <w:sz w:val="22"/>
          <w:szCs w:val="22"/>
        </w:rPr>
        <w:t xml:space="preserve"> implantar uma política de restrição ao estacionamento em via pública, considerando os impactos negativos sobre a mobilidade e a qualidade do espaço urbano construído</w:t>
      </w:r>
      <w:r>
        <w:rPr>
          <w:rFonts w:ascii="Tahoma" w:eastAsia="Tahoma" w:hAnsi="Tahoma" w:cs="Tahoma"/>
          <w:sz w:val="22"/>
          <w:szCs w:val="22"/>
        </w:rPr>
        <w:t xml:space="preserve">, estabelecendo instrumentos de controle da oferta de vagas de estacionamento em áreas públicas e privadas, inclusive para operação da atividade de compartilhamento de vagas;” </w:t>
      </w:r>
    </w:p>
    <w:p w:rsidR="00565984" w:rsidRDefault="00565984">
      <w:pPr>
        <w:spacing w:line="360" w:lineRule="auto"/>
        <w:ind w:firstLine="720"/>
        <w:jc w:val="both"/>
        <w:rPr>
          <w:rFonts w:ascii="Tahoma" w:eastAsia="Tahoma" w:hAnsi="Tahoma" w:cs="Tahoma"/>
        </w:rPr>
      </w:pPr>
    </w:p>
    <w:p w:rsidR="00565984" w:rsidRDefault="00242848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Por essa razão, se mostra essencial o devido incentivo a construção de edifíci</w:t>
      </w:r>
      <w:r>
        <w:rPr>
          <w:rFonts w:ascii="Tahoma" w:eastAsia="Tahoma" w:hAnsi="Tahoma" w:cs="Tahoma"/>
        </w:rPr>
        <w:t xml:space="preserve">os garagens em locais propícios a significativa movimentação de pessoas, evitando o uso da via pública como estacionamento e, por </w:t>
      </w:r>
      <w:proofErr w:type="spellStart"/>
      <w:r>
        <w:rPr>
          <w:rFonts w:ascii="Tahoma" w:eastAsia="Tahoma" w:hAnsi="Tahoma" w:cs="Tahoma"/>
        </w:rPr>
        <w:t>consequência</w:t>
      </w:r>
      <w:proofErr w:type="spellEnd"/>
      <w:r>
        <w:rPr>
          <w:rFonts w:ascii="Tahoma" w:eastAsia="Tahoma" w:hAnsi="Tahoma" w:cs="Tahoma"/>
        </w:rPr>
        <w:t xml:space="preserve">, todos os malefícios dessa prática. </w:t>
      </w:r>
    </w:p>
    <w:p w:rsidR="00565984" w:rsidRDefault="00242848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proofErr w:type="gramStart"/>
      <w:r>
        <w:rPr>
          <w:rFonts w:ascii="Tahoma" w:eastAsia="Tahoma" w:hAnsi="Tahoma" w:cs="Tahoma"/>
        </w:rPr>
        <w:t>Um outro</w:t>
      </w:r>
      <w:proofErr w:type="gramEnd"/>
      <w:r>
        <w:rPr>
          <w:rFonts w:ascii="Tahoma" w:eastAsia="Tahoma" w:hAnsi="Tahoma" w:cs="Tahoma"/>
        </w:rPr>
        <w:t xml:space="preserve"> benefício do edifício garagem é a possibilidade de ser um local par</w:t>
      </w:r>
      <w:r>
        <w:rPr>
          <w:rFonts w:ascii="Tahoma" w:eastAsia="Tahoma" w:hAnsi="Tahoma" w:cs="Tahoma"/>
        </w:rPr>
        <w:t xml:space="preserve">a guarda de veículos, principalmente vindos dos municípios adjacentes, para que o usuário possa utilizar do transporte público intermodal para se deslocar por Niterói, reduzindo a presença de automóveis particulares pela cidade. </w:t>
      </w:r>
    </w:p>
    <w:p w:rsidR="00565984" w:rsidRDefault="00242848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Sobre esse tema, o Plano D</w:t>
      </w:r>
      <w:r>
        <w:rPr>
          <w:rFonts w:ascii="Tahoma" w:eastAsia="Tahoma" w:hAnsi="Tahoma" w:cs="Tahoma"/>
        </w:rPr>
        <w:t>iretor de Niterói (Lei nº 3.385/2019), em seu art. 214, V, afirma ser um dos objetivos do Sistema de Mobilidade:</w:t>
      </w:r>
    </w:p>
    <w:p w:rsidR="00565984" w:rsidRDefault="00565984">
      <w:pPr>
        <w:ind w:left="1440"/>
        <w:jc w:val="both"/>
        <w:rPr>
          <w:rFonts w:ascii="Tahoma" w:eastAsia="Tahoma" w:hAnsi="Tahoma" w:cs="Tahoma"/>
        </w:rPr>
      </w:pPr>
    </w:p>
    <w:p w:rsidR="00565984" w:rsidRDefault="00242848">
      <w:pPr>
        <w:spacing w:line="360" w:lineRule="auto"/>
        <w:ind w:left="288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sz w:val="22"/>
          <w:szCs w:val="22"/>
        </w:rPr>
        <w:t xml:space="preserve">“V – </w:t>
      </w:r>
      <w:r>
        <w:rPr>
          <w:rFonts w:ascii="Tahoma" w:eastAsia="Tahoma" w:hAnsi="Tahoma" w:cs="Tahoma"/>
          <w:b/>
          <w:sz w:val="22"/>
          <w:szCs w:val="22"/>
        </w:rPr>
        <w:t>promover a integração entre os sistemas de transporte público coletivo e os não motorizados e entre estes e o transporte coletivo privado</w:t>
      </w:r>
      <w:r>
        <w:rPr>
          <w:rFonts w:ascii="Tahoma" w:eastAsia="Tahoma" w:hAnsi="Tahoma" w:cs="Tahoma"/>
          <w:b/>
          <w:sz w:val="22"/>
          <w:szCs w:val="22"/>
        </w:rPr>
        <w:t xml:space="preserve"> rotineiro de passageiros;</w:t>
      </w:r>
      <w:r>
        <w:rPr>
          <w:rFonts w:ascii="Tahoma" w:eastAsia="Tahoma" w:hAnsi="Tahoma" w:cs="Tahoma"/>
        </w:rPr>
        <w:t>”</w:t>
      </w:r>
    </w:p>
    <w:p w:rsidR="00565984" w:rsidRDefault="00565984">
      <w:pPr>
        <w:spacing w:line="360" w:lineRule="auto"/>
        <w:jc w:val="both"/>
        <w:rPr>
          <w:rFonts w:ascii="Tahoma" w:eastAsia="Tahoma" w:hAnsi="Tahoma" w:cs="Tahoma"/>
        </w:rPr>
      </w:pPr>
    </w:p>
    <w:p w:rsidR="00565984" w:rsidRDefault="00242848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lastRenderedPageBreak/>
        <w:tab/>
        <w:t>Para que haja, então, essa devida integração, como garante o Plano Diretor do Município, é preciso que seja incentivada a existência de um maior número de edificações voltadas ao serviço de garagem, de forma que estejam situad</w:t>
      </w:r>
      <w:r>
        <w:rPr>
          <w:rFonts w:ascii="Tahoma" w:eastAsia="Tahoma" w:hAnsi="Tahoma" w:cs="Tahoma"/>
        </w:rPr>
        <w:t>as em locais estratégicos para que haja a movimentação de estacionar o veículo particular e acessar o transporte público para, assim, circular pela cidade.</w:t>
      </w:r>
    </w:p>
    <w:p w:rsidR="00565984" w:rsidRDefault="00242848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ab/>
        <w:t>Ao permitir a não incidência da contrapartida financeira da outorga onerosa de potencial construtiv</w:t>
      </w:r>
      <w:r>
        <w:rPr>
          <w:rFonts w:ascii="Tahoma" w:eastAsia="Tahoma" w:hAnsi="Tahoma" w:cs="Tahoma"/>
        </w:rPr>
        <w:t xml:space="preserve">o adicional, promoverá, dessa forma, a construção desses empreendimentos, uma vez que se tornará mais atrativo economicamente. Já ao determinar que o benefício </w:t>
      </w:r>
      <w:proofErr w:type="gramStart"/>
      <w:r>
        <w:rPr>
          <w:rFonts w:ascii="Tahoma" w:eastAsia="Tahoma" w:hAnsi="Tahoma" w:cs="Tahoma"/>
        </w:rPr>
        <w:t>será</w:t>
      </w:r>
      <w:proofErr w:type="gramEnd"/>
      <w:r>
        <w:rPr>
          <w:rFonts w:ascii="Tahoma" w:eastAsia="Tahoma" w:hAnsi="Tahoma" w:cs="Tahoma"/>
        </w:rPr>
        <w:t xml:space="preserve"> aplicado para aqueles edifícios que estiverem estabelecidos nas quadras localizadas num rai</w:t>
      </w:r>
      <w:r>
        <w:rPr>
          <w:rFonts w:ascii="Tahoma" w:eastAsia="Tahoma" w:hAnsi="Tahoma" w:cs="Tahoma"/>
        </w:rPr>
        <w:t>o de 600m (seiscentos metros) de novas estações de trem, metrô ou monotrilho, revela o objetivo primordial de incentivar o transporte intermodal de passageiros que serão encorajados a manter seus veículos no estacionamento para se tornarem usuários do tran</w:t>
      </w:r>
      <w:r>
        <w:rPr>
          <w:rFonts w:ascii="Tahoma" w:eastAsia="Tahoma" w:hAnsi="Tahoma" w:cs="Tahoma"/>
        </w:rPr>
        <w:t xml:space="preserve">sporte público disponível nas proximidades imediatas. </w:t>
      </w:r>
    </w:p>
    <w:p w:rsidR="00565984" w:rsidRDefault="00242848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ab/>
        <w:t>Essa intenção, como demonstrado, já era prevista desde o Plano Diretor do Município de Niterói em 2019. Inclusive, o texto do seu art. 215 é claro ao afirmar a importância do Plano Municipal de Mobili</w:t>
      </w:r>
      <w:r>
        <w:rPr>
          <w:rFonts w:ascii="Tahoma" w:eastAsia="Tahoma" w:hAnsi="Tahoma" w:cs="Tahoma"/>
        </w:rPr>
        <w:t>dade Urbana Sustentável, que revela a essencialidade do gerenciamento de estacionamentos na cidade, para - repetindo os pontos já apresentados neste texto - limitar o estacionamento nas vias públicas e integrar o uso do automóvel privado com o sistema públ</w:t>
      </w:r>
      <w:r>
        <w:rPr>
          <w:rFonts w:ascii="Tahoma" w:eastAsia="Tahoma" w:hAnsi="Tahoma" w:cs="Tahoma"/>
        </w:rPr>
        <w:t xml:space="preserve">ico de transportes coletivo. </w:t>
      </w:r>
    </w:p>
    <w:p w:rsidR="00565984" w:rsidRDefault="00565984">
      <w:pPr>
        <w:spacing w:line="360" w:lineRule="auto"/>
        <w:ind w:left="2880"/>
        <w:jc w:val="both"/>
        <w:rPr>
          <w:rFonts w:ascii="Tahoma" w:eastAsia="Tahoma" w:hAnsi="Tahoma" w:cs="Tahoma"/>
        </w:rPr>
      </w:pPr>
    </w:p>
    <w:p w:rsidR="00565984" w:rsidRDefault="00242848">
      <w:pPr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“Art. 215. Fica o Executivo encarregado de elaborar e encaminhar para o Poder Legislativo, o Projeto de Lei contendo o Plano Municipal de Mobilidade Urbana Sustentável, de acordo com o prazo estabelecido pela Lei Federal 12.257 e determinações estabelecida</w:t>
      </w:r>
      <w:r>
        <w:rPr>
          <w:rFonts w:ascii="Tahoma" w:eastAsia="Tahoma" w:hAnsi="Tahoma" w:cs="Tahoma"/>
          <w:sz w:val="22"/>
          <w:szCs w:val="22"/>
        </w:rPr>
        <w:t xml:space="preserve">s pela legislação federal que institui a Política Nacional de Mobilidade Urbana, bem como dos </w:t>
      </w:r>
      <w:proofErr w:type="gramStart"/>
      <w:r>
        <w:rPr>
          <w:rFonts w:ascii="Tahoma" w:eastAsia="Tahoma" w:hAnsi="Tahoma" w:cs="Tahoma"/>
          <w:sz w:val="22"/>
          <w:szCs w:val="22"/>
        </w:rPr>
        <w:t>objetivos e diretrizes do art.</w:t>
      </w:r>
      <w:proofErr w:type="gramEnd"/>
      <w:r>
        <w:rPr>
          <w:rFonts w:ascii="Tahoma" w:eastAsia="Tahoma" w:hAnsi="Tahoma" w:cs="Tahoma"/>
          <w:sz w:val="22"/>
          <w:szCs w:val="22"/>
        </w:rPr>
        <w:t xml:space="preserve"> 214 desta Lei.</w:t>
      </w:r>
    </w:p>
    <w:p w:rsidR="00565984" w:rsidRDefault="00242848">
      <w:pPr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§ 1º O Plano Municipal de Mobilidade Urbana Sustentável, cuja elaboração é uma ação prioritária do Sistema de Mobili</w:t>
      </w:r>
      <w:r>
        <w:rPr>
          <w:rFonts w:ascii="Tahoma" w:eastAsia="Tahoma" w:hAnsi="Tahoma" w:cs="Tahoma"/>
          <w:sz w:val="22"/>
          <w:szCs w:val="22"/>
        </w:rPr>
        <w:t xml:space="preserve">dade, deverá ser elaborado de </w:t>
      </w:r>
      <w:r>
        <w:rPr>
          <w:rFonts w:ascii="Tahoma" w:eastAsia="Tahoma" w:hAnsi="Tahoma" w:cs="Tahoma"/>
          <w:sz w:val="22"/>
          <w:szCs w:val="22"/>
        </w:rPr>
        <w:lastRenderedPageBreak/>
        <w:t>forma participativa e conter, no mínimo:</w:t>
      </w:r>
    </w:p>
    <w:p w:rsidR="00565984" w:rsidRDefault="00242848">
      <w:pPr>
        <w:spacing w:line="360" w:lineRule="auto"/>
        <w:ind w:left="288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(...)</w:t>
      </w:r>
    </w:p>
    <w:p w:rsidR="00565984" w:rsidRDefault="00242848">
      <w:pPr>
        <w:spacing w:line="360" w:lineRule="auto"/>
        <w:ind w:left="2880"/>
        <w:jc w:val="both"/>
        <w:rPr>
          <w:rFonts w:ascii="Tahoma" w:eastAsia="Tahoma" w:hAnsi="Tahoma" w:cs="Tahoma"/>
          <w:b/>
          <w:sz w:val="20"/>
          <w:szCs w:val="20"/>
        </w:rPr>
      </w:pPr>
      <w:proofErr w:type="gramStart"/>
      <w:r>
        <w:rPr>
          <w:rFonts w:ascii="Tahoma" w:eastAsia="Tahoma" w:hAnsi="Tahoma" w:cs="Tahoma"/>
          <w:sz w:val="22"/>
          <w:szCs w:val="22"/>
        </w:rPr>
        <w:t xml:space="preserve">IV – </w:t>
      </w:r>
      <w:r>
        <w:rPr>
          <w:rFonts w:ascii="Tahoma" w:eastAsia="Tahoma" w:hAnsi="Tahoma" w:cs="Tahoma"/>
          <w:b/>
          <w:sz w:val="22"/>
          <w:szCs w:val="22"/>
        </w:rPr>
        <w:t>programa para o gerenciamento dos estacionamentos no Município</w:t>
      </w:r>
      <w:r>
        <w:rPr>
          <w:rFonts w:ascii="Tahoma" w:eastAsia="Tahoma" w:hAnsi="Tahoma" w:cs="Tahoma"/>
          <w:sz w:val="22"/>
          <w:szCs w:val="22"/>
        </w:rPr>
        <w:t xml:space="preserve"> com controle de estacionamento nas vias públicas, limitação de estacionamentos nas áreas centrais e </w:t>
      </w:r>
      <w:r>
        <w:rPr>
          <w:rFonts w:ascii="Tahoma" w:eastAsia="Tahoma" w:hAnsi="Tahoma" w:cs="Tahoma"/>
          <w:b/>
          <w:sz w:val="22"/>
          <w:szCs w:val="22"/>
        </w:rPr>
        <w:t>implantação</w:t>
      </w:r>
      <w:r>
        <w:rPr>
          <w:rFonts w:ascii="Tahoma" w:eastAsia="Tahoma" w:hAnsi="Tahoma" w:cs="Tahoma"/>
          <w:b/>
          <w:sz w:val="22"/>
          <w:szCs w:val="22"/>
        </w:rPr>
        <w:t xml:space="preserve"> de estacionamentos públicos associados com o sistema de transporte público coletivo</w:t>
      </w:r>
      <w:r>
        <w:rPr>
          <w:rFonts w:ascii="Tahoma" w:eastAsia="Tahoma" w:hAnsi="Tahoma" w:cs="Tahoma"/>
          <w:sz w:val="22"/>
          <w:szCs w:val="22"/>
        </w:rPr>
        <w:t>, o compartilhamento de automóveis, as centralidades urbanas e as rodovias;”</w:t>
      </w:r>
      <w:proofErr w:type="gramEnd"/>
    </w:p>
    <w:p w:rsidR="00565984" w:rsidRDefault="00565984">
      <w:pPr>
        <w:rPr>
          <w:rFonts w:ascii="Tahoma" w:eastAsia="Tahoma" w:hAnsi="Tahoma" w:cs="Tahoma"/>
          <w:b/>
          <w:sz w:val="22"/>
          <w:szCs w:val="22"/>
        </w:rPr>
      </w:pPr>
    </w:p>
    <w:p w:rsidR="00565984" w:rsidRDefault="00242848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  <w:sz w:val="22"/>
          <w:szCs w:val="22"/>
        </w:rPr>
        <w:tab/>
      </w:r>
      <w:r>
        <w:rPr>
          <w:rFonts w:ascii="Tahoma" w:eastAsia="Tahoma" w:hAnsi="Tahoma" w:cs="Tahoma"/>
        </w:rPr>
        <w:t>Não restam dúvidas, portanto, da necessidade da Lei Urbanística, documento de tamanha relevân</w:t>
      </w:r>
      <w:r>
        <w:rPr>
          <w:rFonts w:ascii="Tahoma" w:eastAsia="Tahoma" w:hAnsi="Tahoma" w:cs="Tahoma"/>
        </w:rPr>
        <w:t>cia para o planejamento urbano de Niterói, tratar sobre a temática e garantir a devida organização dos estacionamentos e incentivo para a construção dos edifícios garagem nas regiões estratégicas, promovendo o desfrute dos diversos benefícios desses empree</w:t>
      </w:r>
      <w:r>
        <w:rPr>
          <w:rFonts w:ascii="Tahoma" w:eastAsia="Tahoma" w:hAnsi="Tahoma" w:cs="Tahoma"/>
        </w:rPr>
        <w:t>ndimentos.</w:t>
      </w:r>
    </w:p>
    <w:p w:rsidR="00565984" w:rsidRDefault="00565984">
      <w:pPr>
        <w:jc w:val="both"/>
        <w:rPr>
          <w:rFonts w:ascii="Tahoma" w:eastAsia="Tahoma" w:hAnsi="Tahoma" w:cs="Tahoma"/>
          <w:b/>
          <w:sz w:val="22"/>
          <w:szCs w:val="22"/>
        </w:rPr>
      </w:pPr>
    </w:p>
    <w:p w:rsidR="0061253E" w:rsidRDefault="0061253E">
      <w:pPr>
        <w:jc w:val="both"/>
        <w:rPr>
          <w:rFonts w:ascii="Tahoma" w:eastAsia="Tahoma" w:hAnsi="Tahoma" w:cs="Tahoma"/>
          <w:b/>
          <w:sz w:val="22"/>
          <w:szCs w:val="22"/>
        </w:rPr>
      </w:pPr>
    </w:p>
    <w:sectPr w:rsidR="0061253E" w:rsidSect="005659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984" w:rsidRDefault="00565984" w:rsidP="00565984">
      <w:r>
        <w:separator/>
      </w:r>
    </w:p>
  </w:endnote>
  <w:endnote w:type="continuationSeparator" w:id="1">
    <w:p w:rsidR="00565984" w:rsidRDefault="00565984" w:rsidP="005659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984" w:rsidRDefault="0056598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984" w:rsidRDefault="002428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 RG</w:t>
    </w:r>
  </w:p>
  <w:p w:rsidR="00565984" w:rsidRDefault="002428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2620.1321</w:t>
    </w:r>
  </w:p>
  <w:p w:rsidR="00565984" w:rsidRDefault="002428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  <w:p w:rsidR="00565984" w:rsidRDefault="0056598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984" w:rsidRDefault="0056598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984" w:rsidRDefault="00565984" w:rsidP="00565984">
      <w:r>
        <w:separator/>
      </w:r>
    </w:p>
  </w:footnote>
  <w:footnote w:type="continuationSeparator" w:id="1">
    <w:p w:rsidR="00565984" w:rsidRDefault="00565984" w:rsidP="005659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984" w:rsidRDefault="0056598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984" w:rsidRDefault="00565984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0"/>
      <w:tblW w:w="9648" w:type="dxa"/>
      <w:tblInd w:w="-6" w:type="dxa"/>
      <w:tblLayout w:type="fixed"/>
      <w:tblLook w:val="0000"/>
    </w:tblPr>
    <w:tblGrid>
      <w:gridCol w:w="1728"/>
      <w:gridCol w:w="7920"/>
    </w:tblGrid>
    <w:tr w:rsidR="00565984">
      <w:trPr>
        <w:cantSplit/>
        <w:trHeight w:val="1971"/>
        <w:tblHeader/>
      </w:trPr>
      <w:tc>
        <w:tcPr>
          <w:tcW w:w="1728" w:type="dxa"/>
        </w:tcPr>
        <w:p w:rsidR="00565984" w:rsidRDefault="0024284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5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565984" w:rsidRDefault="0056598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565984" w:rsidRDefault="0056598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565984" w:rsidRDefault="0024284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565984" w:rsidRDefault="0056598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565984" w:rsidRDefault="0024284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565984" w:rsidRDefault="0056598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565984" w:rsidRDefault="0056598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984" w:rsidRDefault="0056598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65984"/>
    <w:rsid w:val="001247C9"/>
    <w:rsid w:val="00242848"/>
    <w:rsid w:val="002836A6"/>
    <w:rsid w:val="00565984"/>
    <w:rsid w:val="00610F73"/>
    <w:rsid w:val="0061253E"/>
    <w:rsid w:val="006174BB"/>
    <w:rsid w:val="00676F67"/>
    <w:rsid w:val="00827E49"/>
    <w:rsid w:val="00A00E40"/>
    <w:rsid w:val="00A77586"/>
    <w:rsid w:val="00AB386B"/>
    <w:rsid w:val="00E62C19"/>
    <w:rsid w:val="00EE7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0"/>
    <w:next w:val="normal0"/>
    <w:rsid w:val="00C6585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C6585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C6585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0"/>
    <w:next w:val="normal0"/>
    <w:rsid w:val="00C6585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565984"/>
  </w:style>
  <w:style w:type="table" w:customStyle="1" w:styleId="TableNormal">
    <w:name w:val="Table Normal"/>
    <w:rsid w:val="0056598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C6585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0">
    <w:name w:val="normal"/>
    <w:rsid w:val="00C6585E"/>
  </w:style>
  <w:style w:type="table" w:customStyle="1" w:styleId="TableNormal0">
    <w:name w:val="Table Normal"/>
    <w:rsid w:val="00C6585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56598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C6585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56598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1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UJaivgzA3f3JR/ymeu99U8z8tQ==">CgMxLjA4AHIhMS1TNjJ2cFE2T0hGUUppVVJEaFZzN2FKcVhOa085S1Nf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1459</Words>
  <Characters>7881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2024-02-22T23:32:00Z</cp:lastPrinted>
  <dcterms:created xsi:type="dcterms:W3CDTF">2024-02-22T23:51:00Z</dcterms:created>
  <dcterms:modified xsi:type="dcterms:W3CDTF">2024-02-22T23:51:00Z</dcterms:modified>
</cp:coreProperties>
</file>