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F0E94" w:rsidRDefault="0091259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135370">
        <w:rPr>
          <w:rFonts w:ascii="Tahoma" w:eastAsia="Tahoma" w:hAnsi="Tahoma" w:cs="Tahoma"/>
          <w:b/>
          <w:sz w:val="22"/>
          <w:szCs w:val="22"/>
        </w:rPr>
        <w:t>4</w:t>
      </w: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F76922">
        <w:rPr>
          <w:rFonts w:ascii="Tahoma" w:eastAsia="Tahoma" w:hAnsi="Tahoma" w:cs="Tahoma"/>
          <w:b/>
          <w:sz w:val="22"/>
          <w:szCs w:val="22"/>
        </w:rPr>
        <w:t>221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F76922">
        <w:rPr>
          <w:rFonts w:ascii="Tahoma" w:eastAsia="Tahoma" w:hAnsi="Tahoma" w:cs="Tahoma"/>
          <w:b/>
          <w:sz w:val="22"/>
          <w:szCs w:val="22"/>
        </w:rPr>
        <w:t>3</w:t>
      </w:r>
    </w:p>
    <w:p w:rsidR="00FF0E94" w:rsidRDefault="00FF0E94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:rsidR="00431CB2" w:rsidRDefault="00431CB2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F0E94" w:rsidRPr="002A6E88" w:rsidRDefault="0091259F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  <w:r w:rsidRPr="002A6E88">
        <w:rPr>
          <w:rFonts w:ascii="Tahoma" w:eastAsia="Tahoma" w:hAnsi="Tahoma" w:cs="Tahoma"/>
          <w:b/>
          <w:sz w:val="22"/>
          <w:szCs w:val="22"/>
        </w:rPr>
        <w:t>Modifica-se a redação do</w:t>
      </w:r>
      <w:r w:rsidR="00712F68" w:rsidRPr="002A6E88">
        <w:rPr>
          <w:rFonts w:ascii="Tahoma" w:eastAsia="Tahoma" w:hAnsi="Tahoma" w:cs="Tahoma"/>
          <w:b/>
          <w:sz w:val="22"/>
          <w:szCs w:val="22"/>
        </w:rPr>
        <w:t xml:space="preserve"> inciso I do</w:t>
      </w:r>
      <w:r w:rsidRPr="002A6E88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135370" w:rsidRPr="002A6E88">
        <w:rPr>
          <w:rFonts w:ascii="Tahoma" w:hAnsi="Tahoma" w:cs="Tahoma"/>
          <w:b/>
          <w:sz w:val="22"/>
          <w:szCs w:val="22"/>
        </w:rPr>
        <w:t xml:space="preserve">§ </w:t>
      </w:r>
      <w:r w:rsidR="00712F68" w:rsidRPr="002A6E88">
        <w:rPr>
          <w:rFonts w:ascii="Tahoma" w:hAnsi="Tahoma" w:cs="Tahoma"/>
          <w:b/>
          <w:sz w:val="22"/>
          <w:szCs w:val="22"/>
        </w:rPr>
        <w:t>4</w:t>
      </w:r>
      <w:r w:rsidR="00135370" w:rsidRPr="002A6E88">
        <w:rPr>
          <w:rFonts w:ascii="Tahoma" w:hAnsi="Tahoma" w:cs="Tahoma"/>
          <w:b/>
          <w:sz w:val="22"/>
          <w:szCs w:val="22"/>
        </w:rPr>
        <w:t>º</w:t>
      </w:r>
      <w:r w:rsidRPr="002A6E88">
        <w:rPr>
          <w:rFonts w:ascii="Tahoma" w:eastAsia="Tahoma" w:hAnsi="Tahoma" w:cs="Tahoma"/>
          <w:b/>
          <w:sz w:val="22"/>
          <w:szCs w:val="22"/>
        </w:rPr>
        <w:t xml:space="preserve"> do Art. </w:t>
      </w:r>
      <w:r w:rsidR="00712F68" w:rsidRPr="002A6E88">
        <w:rPr>
          <w:rFonts w:ascii="Tahoma" w:eastAsia="Tahoma" w:hAnsi="Tahoma" w:cs="Tahoma"/>
          <w:b/>
          <w:sz w:val="22"/>
          <w:szCs w:val="22"/>
        </w:rPr>
        <w:t>53</w:t>
      </w:r>
      <w:r w:rsidRPr="002A6E88">
        <w:rPr>
          <w:rFonts w:ascii="Tahoma" w:eastAsia="Tahoma" w:hAnsi="Tahoma" w:cs="Tahoma"/>
          <w:sz w:val="22"/>
          <w:szCs w:val="22"/>
        </w:rPr>
        <w:t>,</w:t>
      </w:r>
      <w:r w:rsidR="00135370" w:rsidRPr="002A6E88">
        <w:rPr>
          <w:rFonts w:ascii="Tahoma" w:eastAsia="Tahoma" w:hAnsi="Tahoma" w:cs="Tahoma"/>
          <w:sz w:val="22"/>
          <w:szCs w:val="22"/>
        </w:rPr>
        <w:t xml:space="preserve"> </w:t>
      </w:r>
      <w:r w:rsidR="005C58EE" w:rsidRPr="002A6E88">
        <w:rPr>
          <w:rFonts w:ascii="Tahoma" w:eastAsia="Tahoma" w:hAnsi="Tahoma" w:cs="Tahoma"/>
          <w:sz w:val="22"/>
          <w:szCs w:val="22"/>
        </w:rPr>
        <w:t xml:space="preserve">do Projeto de Lei Nº </w:t>
      </w:r>
      <w:r w:rsidR="00F76922" w:rsidRPr="002A6E88">
        <w:rPr>
          <w:rFonts w:ascii="Tahoma" w:eastAsia="Tahoma" w:hAnsi="Tahoma" w:cs="Tahoma"/>
          <w:sz w:val="22"/>
          <w:szCs w:val="22"/>
        </w:rPr>
        <w:t>00221/2023</w:t>
      </w:r>
      <w:r w:rsidRPr="002A6E88"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 w:rsidRPr="002A6E88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FB6E23" w:rsidRPr="002A6E88" w:rsidRDefault="00FB6E23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FF0E94" w:rsidRPr="002A6E88" w:rsidRDefault="00FF0E94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135370" w:rsidRPr="002A6E88" w:rsidRDefault="0091259F" w:rsidP="0013537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b/>
          <w:sz w:val="22"/>
          <w:szCs w:val="22"/>
        </w:rPr>
        <w:t xml:space="preserve">Art.1º - Modifica-se </w:t>
      </w:r>
      <w:r w:rsidR="00712F68" w:rsidRPr="002A6E88">
        <w:rPr>
          <w:rFonts w:ascii="Tahoma" w:eastAsia="Tahoma" w:hAnsi="Tahoma" w:cs="Tahoma"/>
          <w:b/>
          <w:sz w:val="22"/>
          <w:szCs w:val="22"/>
        </w:rPr>
        <w:t xml:space="preserve">a redação do inciso I do </w:t>
      </w:r>
      <w:r w:rsidR="00712F68" w:rsidRPr="002A6E88">
        <w:rPr>
          <w:rFonts w:ascii="Tahoma" w:hAnsi="Tahoma" w:cs="Tahoma"/>
          <w:b/>
          <w:sz w:val="22"/>
          <w:szCs w:val="22"/>
        </w:rPr>
        <w:t>§ 4º</w:t>
      </w:r>
      <w:r w:rsidR="00712F68" w:rsidRPr="002A6E88">
        <w:rPr>
          <w:rFonts w:ascii="Tahoma" w:eastAsia="Tahoma" w:hAnsi="Tahoma" w:cs="Tahoma"/>
          <w:b/>
          <w:sz w:val="22"/>
          <w:szCs w:val="22"/>
        </w:rPr>
        <w:t xml:space="preserve"> do Art. 53</w:t>
      </w:r>
      <w:r w:rsidRPr="002A6E88">
        <w:rPr>
          <w:rFonts w:ascii="Tahoma" w:eastAsia="Tahoma" w:hAnsi="Tahoma" w:cs="Tahoma"/>
          <w:sz w:val="22"/>
          <w:szCs w:val="22"/>
        </w:rPr>
        <w:t xml:space="preserve">, </w:t>
      </w:r>
      <w:r w:rsidR="00135370" w:rsidRPr="002A6E88">
        <w:rPr>
          <w:rFonts w:ascii="Tahoma" w:eastAsia="Tahoma" w:hAnsi="Tahoma" w:cs="Tahoma"/>
          <w:sz w:val="22"/>
          <w:szCs w:val="22"/>
        </w:rPr>
        <w:t>ao Projeto de Lei Nº 221/2023, que passa a ter a seguinte redação:</w:t>
      </w:r>
    </w:p>
    <w:p w:rsidR="00135370" w:rsidRPr="002A6E88" w:rsidRDefault="00135370" w:rsidP="0013537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sz w:val="22"/>
          <w:szCs w:val="22"/>
        </w:rPr>
        <w:tab/>
        <w:t xml:space="preserve">        “Art. 5</w:t>
      </w:r>
      <w:r w:rsidR="00712F68" w:rsidRPr="002A6E88">
        <w:rPr>
          <w:rFonts w:ascii="Tahoma" w:eastAsia="Tahoma" w:hAnsi="Tahoma" w:cs="Tahoma"/>
          <w:sz w:val="22"/>
          <w:szCs w:val="22"/>
        </w:rPr>
        <w:t>3</w:t>
      </w:r>
      <w:r w:rsidRPr="002A6E88">
        <w:rPr>
          <w:rFonts w:ascii="Tahoma" w:eastAsia="Tahoma" w:hAnsi="Tahoma" w:cs="Tahoma"/>
          <w:sz w:val="22"/>
          <w:szCs w:val="22"/>
        </w:rPr>
        <w:t xml:space="preserve"> (...)</w:t>
      </w:r>
    </w:p>
    <w:p w:rsidR="00FB6E23" w:rsidRPr="002A6E88" w:rsidRDefault="00FB6E23" w:rsidP="00135370">
      <w:pPr>
        <w:jc w:val="both"/>
        <w:rPr>
          <w:rFonts w:ascii="Tahoma" w:hAnsi="Tahoma" w:cs="Tahoma"/>
          <w:sz w:val="22"/>
          <w:szCs w:val="22"/>
        </w:rPr>
      </w:pPr>
    </w:p>
    <w:p w:rsidR="00712F68" w:rsidRPr="002A6E88" w:rsidRDefault="00712F68" w:rsidP="00135370">
      <w:pPr>
        <w:jc w:val="both"/>
        <w:rPr>
          <w:rFonts w:ascii="Tahoma" w:hAnsi="Tahoma" w:cs="Tahoma"/>
          <w:sz w:val="22"/>
          <w:szCs w:val="22"/>
        </w:rPr>
      </w:pPr>
      <w:r w:rsidRPr="002A6E88">
        <w:rPr>
          <w:rFonts w:ascii="Tahoma" w:hAnsi="Tahoma" w:cs="Tahoma"/>
          <w:sz w:val="22"/>
          <w:szCs w:val="22"/>
        </w:rPr>
        <w:t xml:space="preserve">§ 4º Não será permitida na área fronteira à orla marítima de todo o Município de Niterói, a qualquer título, construção residencial ou não residencial com gabarito capaz de projetar sombra sobre o cordão arenoso das praias, excluído o calçadão, nos períodos de: </w:t>
      </w:r>
    </w:p>
    <w:p w:rsidR="00712F68" w:rsidRPr="002A6E88" w:rsidRDefault="00712F68" w:rsidP="00712F68">
      <w:pPr>
        <w:ind w:left="1701"/>
        <w:jc w:val="both"/>
        <w:rPr>
          <w:rFonts w:ascii="Tahoma" w:hAnsi="Tahoma" w:cs="Tahoma"/>
          <w:sz w:val="22"/>
          <w:szCs w:val="22"/>
        </w:rPr>
      </w:pPr>
    </w:p>
    <w:p w:rsidR="00712F68" w:rsidRPr="002A6E88" w:rsidRDefault="00712F68" w:rsidP="00712F68">
      <w:pPr>
        <w:pStyle w:val="PargrafodaLista"/>
        <w:numPr>
          <w:ilvl w:val="0"/>
          <w:numId w:val="1"/>
        </w:numPr>
        <w:ind w:left="1701"/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2A6E88">
        <w:rPr>
          <w:rFonts w:ascii="Tahoma" w:hAnsi="Tahoma" w:cs="Tahoma"/>
          <w:sz w:val="22"/>
          <w:szCs w:val="22"/>
        </w:rPr>
        <w:t>solstício</w:t>
      </w:r>
      <w:proofErr w:type="gramEnd"/>
      <w:r w:rsidRPr="002A6E88">
        <w:rPr>
          <w:rFonts w:ascii="Tahoma" w:hAnsi="Tahoma" w:cs="Tahoma"/>
          <w:sz w:val="22"/>
          <w:szCs w:val="22"/>
        </w:rPr>
        <w:t xml:space="preserve"> de inverno (22 de junho): </w:t>
      </w:r>
      <w:r w:rsidRPr="002A6E88">
        <w:rPr>
          <w:rFonts w:ascii="Tahoma" w:hAnsi="Tahoma" w:cs="Tahoma"/>
          <w:b/>
          <w:sz w:val="22"/>
          <w:szCs w:val="22"/>
        </w:rPr>
        <w:t xml:space="preserve">de 10h até 15h. </w:t>
      </w:r>
    </w:p>
    <w:p w:rsidR="00712F68" w:rsidRPr="002A6E88" w:rsidRDefault="00712F68" w:rsidP="00712F68">
      <w:pPr>
        <w:pStyle w:val="PargrafodaLista"/>
        <w:numPr>
          <w:ilvl w:val="0"/>
          <w:numId w:val="1"/>
        </w:numPr>
        <w:ind w:left="1701"/>
        <w:jc w:val="both"/>
        <w:rPr>
          <w:rFonts w:ascii="Tahoma" w:hAnsi="Tahoma" w:cs="Tahoma"/>
          <w:sz w:val="22"/>
          <w:szCs w:val="22"/>
        </w:rPr>
      </w:pPr>
      <w:proofErr w:type="gramStart"/>
      <w:r w:rsidRPr="002A6E88">
        <w:rPr>
          <w:rFonts w:ascii="Tahoma" w:hAnsi="Tahoma" w:cs="Tahoma"/>
          <w:sz w:val="22"/>
          <w:szCs w:val="22"/>
        </w:rPr>
        <w:t>equinócio</w:t>
      </w:r>
      <w:proofErr w:type="gramEnd"/>
      <w:r w:rsidRPr="002A6E88">
        <w:rPr>
          <w:rFonts w:ascii="Tahoma" w:hAnsi="Tahoma" w:cs="Tahoma"/>
          <w:sz w:val="22"/>
          <w:szCs w:val="22"/>
        </w:rPr>
        <w:t xml:space="preserve"> de primavera (23 de setembro) e de outono (21 de março): de 7:30h até 16:30h. </w:t>
      </w:r>
    </w:p>
    <w:p w:rsidR="00135370" w:rsidRPr="002A6E88" w:rsidRDefault="00712F68" w:rsidP="00712F68">
      <w:pPr>
        <w:pStyle w:val="PargrafodaLista"/>
        <w:numPr>
          <w:ilvl w:val="0"/>
          <w:numId w:val="1"/>
        </w:numPr>
        <w:ind w:left="1701"/>
        <w:jc w:val="both"/>
        <w:rPr>
          <w:rFonts w:ascii="Tahoma" w:hAnsi="Tahoma" w:cs="Tahoma"/>
          <w:sz w:val="22"/>
          <w:szCs w:val="22"/>
        </w:rPr>
      </w:pPr>
      <w:proofErr w:type="gramStart"/>
      <w:r w:rsidRPr="002A6E88">
        <w:rPr>
          <w:rFonts w:ascii="Tahoma" w:hAnsi="Tahoma" w:cs="Tahoma"/>
          <w:sz w:val="22"/>
          <w:szCs w:val="22"/>
        </w:rPr>
        <w:t>solstício</w:t>
      </w:r>
      <w:proofErr w:type="gramEnd"/>
      <w:r w:rsidRPr="002A6E88">
        <w:rPr>
          <w:rFonts w:ascii="Tahoma" w:hAnsi="Tahoma" w:cs="Tahoma"/>
          <w:sz w:val="22"/>
          <w:szCs w:val="22"/>
        </w:rPr>
        <w:t xml:space="preserve"> de verão (22 de dezembro): 7h até 17h</w:t>
      </w:r>
    </w:p>
    <w:p w:rsidR="00135370" w:rsidRPr="002A6E88" w:rsidRDefault="00135370" w:rsidP="0013537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F0E94" w:rsidRPr="002A6E88" w:rsidRDefault="005C58EE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135370" w:rsidRPr="002A6E88">
        <w:rPr>
          <w:rFonts w:ascii="Tahoma" w:eastAsia="Tahoma" w:hAnsi="Tahoma" w:cs="Tahoma"/>
          <w:sz w:val="22"/>
          <w:szCs w:val="22"/>
        </w:rPr>
        <w:t>21</w:t>
      </w:r>
      <w:r w:rsidR="0091259F" w:rsidRPr="002A6E88">
        <w:rPr>
          <w:rFonts w:ascii="Tahoma" w:eastAsia="Tahoma" w:hAnsi="Tahoma" w:cs="Tahoma"/>
          <w:sz w:val="22"/>
          <w:szCs w:val="22"/>
        </w:rPr>
        <w:t xml:space="preserve"> de </w:t>
      </w:r>
      <w:r w:rsidR="00135370" w:rsidRPr="002A6E88">
        <w:rPr>
          <w:rFonts w:ascii="Tahoma" w:eastAsia="Tahoma" w:hAnsi="Tahoma" w:cs="Tahoma"/>
          <w:sz w:val="22"/>
          <w:szCs w:val="22"/>
        </w:rPr>
        <w:t>feverei</w:t>
      </w:r>
      <w:r w:rsidR="00344616" w:rsidRPr="002A6E88">
        <w:rPr>
          <w:rFonts w:ascii="Tahoma" w:eastAsia="Tahoma" w:hAnsi="Tahoma" w:cs="Tahoma"/>
          <w:sz w:val="22"/>
          <w:szCs w:val="22"/>
        </w:rPr>
        <w:t>ro</w:t>
      </w:r>
      <w:r w:rsidR="0091259F" w:rsidRPr="002A6E88">
        <w:rPr>
          <w:rFonts w:ascii="Tahoma" w:eastAsia="Tahoma" w:hAnsi="Tahoma" w:cs="Tahoma"/>
          <w:sz w:val="22"/>
          <w:szCs w:val="22"/>
        </w:rPr>
        <w:t xml:space="preserve"> de 202</w:t>
      </w:r>
      <w:r w:rsidR="00135370" w:rsidRPr="002A6E88">
        <w:rPr>
          <w:rFonts w:ascii="Tahoma" w:eastAsia="Tahoma" w:hAnsi="Tahoma" w:cs="Tahoma"/>
          <w:sz w:val="22"/>
          <w:szCs w:val="22"/>
        </w:rPr>
        <w:t>4</w:t>
      </w:r>
      <w:r w:rsidR="0091259F" w:rsidRPr="002A6E88">
        <w:rPr>
          <w:rFonts w:ascii="Tahoma" w:eastAsia="Tahoma" w:hAnsi="Tahoma" w:cs="Tahoma"/>
          <w:sz w:val="22"/>
          <w:szCs w:val="22"/>
        </w:rPr>
        <w:t>.</w:t>
      </w:r>
    </w:p>
    <w:p w:rsidR="00FF0E94" w:rsidRPr="002A6E88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B6E23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>______________________________</w:t>
      </w:r>
      <w:r w:rsidRPr="002A6E88">
        <w:rPr>
          <w:rFonts w:ascii="Tahoma" w:hAnsi="Tahoma" w:cs="Tahoma"/>
          <w:b/>
          <w:sz w:val="22"/>
          <w:szCs w:val="22"/>
        </w:rPr>
        <w:tab/>
        <w:t xml:space="preserve"> </w:t>
      </w:r>
      <w:r w:rsidR="002A6E88">
        <w:rPr>
          <w:rFonts w:ascii="Tahoma" w:hAnsi="Tahoma" w:cs="Tahoma"/>
          <w:b/>
          <w:sz w:val="22"/>
          <w:szCs w:val="22"/>
        </w:rPr>
        <w:t xml:space="preserve">            </w:t>
      </w:r>
      <w:r w:rsidRPr="002A6E88">
        <w:rPr>
          <w:rFonts w:ascii="Tahoma" w:hAnsi="Tahoma" w:cs="Tahoma"/>
          <w:b/>
          <w:sz w:val="22"/>
          <w:szCs w:val="22"/>
        </w:rPr>
        <w:t xml:space="preserve">  ____________________________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Leandro Portugal </w:t>
      </w:r>
      <w:proofErr w:type="spellStart"/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>Franzen</w:t>
      </w:r>
      <w:proofErr w:type="spellEnd"/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de Lima</w:t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  <w:t xml:space="preserve">  </w:t>
      </w:r>
      <w:r w:rsidR="002A6E88">
        <w:rPr>
          <w:rFonts w:ascii="Tahoma" w:hAnsi="Tahoma" w:cs="Tahoma"/>
          <w:b/>
          <w:sz w:val="22"/>
          <w:szCs w:val="22"/>
        </w:rPr>
        <w:t xml:space="preserve">           </w:t>
      </w:r>
      <w:r w:rsidRPr="002A6E88">
        <w:rPr>
          <w:rFonts w:ascii="Tahoma" w:hAnsi="Tahoma" w:cs="Tahoma"/>
          <w:b/>
          <w:sz w:val="22"/>
          <w:szCs w:val="22"/>
        </w:rPr>
        <w:t>D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>aniel Marques Frederico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 xml:space="preserve">             Vereador - Presidente</w:t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  <w:t xml:space="preserve"> Vereador - Vice-Presidente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 xml:space="preserve">                                                                       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lastRenderedPageBreak/>
        <w:t xml:space="preserve"> ______________________________    </w:t>
      </w:r>
      <w:r w:rsidR="002A6E88">
        <w:rPr>
          <w:rFonts w:ascii="Tahoma" w:hAnsi="Tahoma" w:cs="Tahoma"/>
          <w:b/>
          <w:sz w:val="22"/>
          <w:szCs w:val="22"/>
        </w:rPr>
        <w:t xml:space="preserve">    </w:t>
      </w:r>
      <w:r w:rsidRPr="002A6E88">
        <w:rPr>
          <w:rFonts w:ascii="Tahoma" w:hAnsi="Tahoma" w:cs="Tahoma"/>
          <w:b/>
          <w:sz w:val="22"/>
          <w:szCs w:val="22"/>
        </w:rPr>
        <w:t>______________________________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Jorge </w:t>
      </w:r>
      <w:proofErr w:type="spellStart"/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>Andrigo</w:t>
      </w:r>
      <w:proofErr w:type="spellEnd"/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Dias de Carvalho</w:t>
      </w:r>
      <w:r w:rsidRPr="002A6E88">
        <w:rPr>
          <w:rFonts w:ascii="Tahoma" w:hAnsi="Tahoma" w:cs="Tahoma"/>
          <w:b/>
          <w:sz w:val="22"/>
          <w:szCs w:val="22"/>
        </w:rPr>
        <w:tab/>
      </w:r>
      <w:r w:rsidRPr="002A6E88">
        <w:rPr>
          <w:rFonts w:ascii="Tahoma" w:hAnsi="Tahoma" w:cs="Tahoma"/>
          <w:b/>
          <w:sz w:val="22"/>
          <w:szCs w:val="22"/>
        </w:rPr>
        <w:tab/>
        <w:t xml:space="preserve">    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José Adriano Valle da Costa    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 xml:space="preserve">    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     </w:t>
      </w:r>
      <w:r w:rsidRPr="002A6E88">
        <w:rPr>
          <w:rFonts w:ascii="Tahoma" w:hAnsi="Tahoma" w:cs="Tahoma"/>
          <w:b/>
          <w:sz w:val="22"/>
          <w:szCs w:val="22"/>
        </w:rPr>
        <w:t>Vereador -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Pr="002A6E88">
        <w:rPr>
          <w:rFonts w:ascii="Tahoma" w:hAnsi="Tahoma" w:cs="Tahoma"/>
          <w:b/>
          <w:color w:val="333333"/>
          <w:sz w:val="22"/>
          <w:szCs w:val="22"/>
          <w:shd w:val="clear" w:color="auto" w:fill="FFFFFF"/>
        </w:rPr>
        <w:t xml:space="preserve">Membro                         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             </w:t>
      </w:r>
      <w:r w:rsidRPr="002A6E88">
        <w:rPr>
          <w:rFonts w:ascii="Tahoma" w:hAnsi="Tahoma" w:cs="Tahoma"/>
          <w:b/>
          <w:color w:val="333333"/>
          <w:sz w:val="22"/>
          <w:szCs w:val="22"/>
          <w:shd w:val="clear" w:color="auto" w:fill="FFFFFF"/>
        </w:rPr>
        <w:t> Membro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ab/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FB6E23" w:rsidRPr="002A6E88" w:rsidRDefault="00FB6E23" w:rsidP="00FB6E2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sz w:val="22"/>
          <w:szCs w:val="22"/>
        </w:rPr>
        <w:t>______________________________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</w:pP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                                        </w:t>
      </w:r>
      <w:r w:rsid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</w:t>
      </w:r>
      <w:r w:rsid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>Roberto Fernandes Jales</w:t>
      </w:r>
    </w:p>
    <w:p w:rsidR="00FB6E23" w:rsidRPr="002A6E88" w:rsidRDefault="00FB6E23" w:rsidP="00FB6E23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                                                    </w:t>
      </w:r>
      <w:r w:rsid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    </w:t>
      </w:r>
      <w:r w:rsid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 </w:t>
      </w:r>
      <w:r w:rsidRPr="002A6E88">
        <w:rPr>
          <w:rFonts w:ascii="Tahoma" w:hAnsi="Tahoma" w:cs="Tahoma"/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Pr="002A6E88">
        <w:rPr>
          <w:rFonts w:ascii="Tahoma" w:hAnsi="Tahoma" w:cs="Tahoma"/>
          <w:b/>
          <w:color w:val="333333"/>
          <w:sz w:val="22"/>
          <w:szCs w:val="22"/>
          <w:shd w:val="clear" w:color="auto" w:fill="FFFFFF"/>
        </w:rPr>
        <w:t> Membro</w:t>
      </w:r>
    </w:p>
    <w:p w:rsidR="00FB6E23" w:rsidRPr="002A6E88" w:rsidRDefault="00FB6E23" w:rsidP="002A6E88">
      <w:pPr>
        <w:spacing w:line="276" w:lineRule="auto"/>
        <w:rPr>
          <w:rFonts w:ascii="Tahoma" w:eastAsia="Tahoma" w:hAnsi="Tahoma" w:cs="Tahoma"/>
          <w:b/>
          <w:sz w:val="22"/>
          <w:szCs w:val="22"/>
        </w:rPr>
      </w:pPr>
    </w:p>
    <w:p w:rsidR="00FF0E94" w:rsidRPr="002A6E88" w:rsidRDefault="0091259F" w:rsidP="002A6E88">
      <w:pPr>
        <w:spacing w:line="276" w:lineRule="auto"/>
        <w:rPr>
          <w:rFonts w:ascii="Tahoma" w:eastAsia="Tahoma" w:hAnsi="Tahoma" w:cs="Tahoma"/>
          <w:b/>
          <w:sz w:val="22"/>
          <w:szCs w:val="22"/>
        </w:rPr>
      </w:pPr>
      <w:r w:rsidRPr="002A6E88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F97034" w:rsidRPr="002A6E88" w:rsidRDefault="00604213" w:rsidP="002A6E88">
      <w:pPr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2A6E88">
        <w:rPr>
          <w:rFonts w:ascii="Tahoma" w:hAnsi="Tahoma" w:cs="Tahoma"/>
          <w:sz w:val="22"/>
          <w:szCs w:val="22"/>
        </w:rPr>
        <w:t xml:space="preserve">Em dois dias específicos do ano, 21 de junho e 21 de dezembro, se você olhar para o céu vai perceber que o sol parece estagnado em seu limite sul ou norte, antes de completar seu caminho diário e </w:t>
      </w:r>
      <w:proofErr w:type="spellStart"/>
      <w:r w:rsidRPr="002A6E88">
        <w:rPr>
          <w:rFonts w:ascii="Tahoma" w:hAnsi="Tahoma" w:cs="Tahoma"/>
          <w:sz w:val="22"/>
          <w:szCs w:val="22"/>
        </w:rPr>
        <w:t>interver</w:t>
      </w:r>
      <w:proofErr w:type="spellEnd"/>
      <w:r w:rsidRPr="002A6E88">
        <w:rPr>
          <w:rFonts w:ascii="Tahoma" w:hAnsi="Tahoma" w:cs="Tahoma"/>
          <w:sz w:val="22"/>
          <w:szCs w:val="22"/>
        </w:rPr>
        <w:t xml:space="preserve"> a direção. Essa impressão de que o astro rei está parado no espaço fez com que o evento fosse denominado de solstício, derivado das palavras em latim 'sol' e '</w:t>
      </w:r>
      <w:proofErr w:type="spellStart"/>
      <w:r w:rsidRPr="002A6E88">
        <w:rPr>
          <w:rFonts w:ascii="Tahoma" w:hAnsi="Tahoma" w:cs="Tahoma"/>
          <w:sz w:val="22"/>
          <w:szCs w:val="22"/>
        </w:rPr>
        <w:t>sistere</w:t>
      </w:r>
      <w:proofErr w:type="spellEnd"/>
      <w:r w:rsidRPr="002A6E88">
        <w:rPr>
          <w:rFonts w:ascii="Tahoma" w:hAnsi="Tahoma" w:cs="Tahoma"/>
          <w:sz w:val="22"/>
          <w:szCs w:val="22"/>
        </w:rPr>
        <w:t>' que significa parado. Ele ocorre quando o sol atinge seu arco diurno mais ao norte ou sul em relação ao Equador, portanto, há dois solstícios que acontecem anualmente e marcam o início do inverno e o início do verão nos hemisférios.</w:t>
      </w:r>
    </w:p>
    <w:p w:rsidR="00604213" w:rsidRPr="002A6E88" w:rsidRDefault="00604213" w:rsidP="002A6E88">
      <w:pPr>
        <w:spacing w:line="276" w:lineRule="auto"/>
        <w:ind w:firstLine="720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2A6E88">
        <w:rPr>
          <w:rFonts w:ascii="Tahoma" w:hAnsi="Tahoma" w:cs="Tahoma"/>
          <w:sz w:val="22"/>
          <w:szCs w:val="22"/>
          <w:shd w:val="clear" w:color="auto" w:fill="FFFFFF"/>
        </w:rPr>
        <w:t>Mas você poderá estar se perguntando o que esse fenômeno astronômico tem a ver com a arquitetura. Pois a verdade é que, se pararmos para pensar, a arquitetura está intimamente relacionada com o sol, e isso é fácil de perceber. A fim de garantir salubridade e conforto térmico aos espaços, condicionamos a implantação do projeto por conta da rota solar e posicionamos os ambientes em relação à luz. Ou seja, entender como o sol irá incidir na edificação</w:t>
      </w:r>
      <w:r w:rsidR="00FB6E23" w:rsidRPr="002A6E88">
        <w:rPr>
          <w:rFonts w:ascii="Tahoma" w:hAnsi="Tahoma" w:cs="Tahoma"/>
          <w:sz w:val="22"/>
          <w:szCs w:val="22"/>
          <w:shd w:val="clear" w:color="auto" w:fill="FFFFFF"/>
        </w:rPr>
        <w:t>,</w:t>
      </w:r>
      <w:r w:rsidRPr="002A6E88">
        <w:rPr>
          <w:rFonts w:ascii="Tahoma" w:hAnsi="Tahoma" w:cs="Tahoma"/>
          <w:sz w:val="22"/>
          <w:szCs w:val="22"/>
          <w:shd w:val="clear" w:color="auto" w:fill="FFFFFF"/>
        </w:rPr>
        <w:t xml:space="preserve"> é um dos primeiros estudos que fazemos ao projetar, se tornando uma diretriz primordial para as decisões que serão tomadas posteriormente. </w:t>
      </w:r>
    </w:p>
    <w:p w:rsidR="00135370" w:rsidRPr="002A6E88" w:rsidRDefault="00135370" w:rsidP="002A6E88">
      <w:pPr>
        <w:spacing w:line="276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2A6E88">
        <w:rPr>
          <w:rFonts w:ascii="Tahoma" w:hAnsi="Tahoma" w:cs="Tahoma"/>
          <w:sz w:val="22"/>
          <w:szCs w:val="22"/>
        </w:rPr>
        <w:t xml:space="preserve">Trata-se de emenda </w:t>
      </w:r>
      <w:r w:rsidR="00431CB2" w:rsidRPr="002A6E88">
        <w:rPr>
          <w:rFonts w:ascii="Tahoma" w:hAnsi="Tahoma" w:cs="Tahoma"/>
          <w:sz w:val="22"/>
          <w:szCs w:val="22"/>
        </w:rPr>
        <w:t>modificati</w:t>
      </w:r>
      <w:r w:rsidRPr="002A6E88">
        <w:rPr>
          <w:rFonts w:ascii="Tahoma" w:hAnsi="Tahoma" w:cs="Tahoma"/>
          <w:sz w:val="22"/>
          <w:szCs w:val="22"/>
        </w:rPr>
        <w:t>va onde se propõe adequar a implantação das edificações de forma harmônica, possibilitando a adoção de padrões construtivos de ocupação compatíveis</w:t>
      </w:r>
      <w:r w:rsidR="00FB6E23" w:rsidRPr="002A6E88">
        <w:rPr>
          <w:rFonts w:ascii="Tahoma" w:hAnsi="Tahoma" w:cs="Tahoma"/>
          <w:sz w:val="22"/>
          <w:szCs w:val="22"/>
        </w:rPr>
        <w:t>, de forma que não inviabilize empreendimentos que contribuem com o desenvolvimento da cidade.</w:t>
      </w:r>
      <w:r w:rsidRPr="002A6E88">
        <w:rPr>
          <w:rFonts w:ascii="Tahoma" w:hAnsi="Tahoma" w:cs="Tahoma"/>
          <w:sz w:val="22"/>
          <w:szCs w:val="22"/>
        </w:rPr>
        <w:t xml:space="preserve"> </w:t>
      </w:r>
    </w:p>
    <w:p w:rsidR="00135370" w:rsidRPr="002A6E88" w:rsidRDefault="00135370" w:rsidP="002A6E8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276" w:lineRule="auto"/>
        <w:ind w:left="-220" w:right="555"/>
        <w:jc w:val="both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sz w:val="22"/>
          <w:szCs w:val="22"/>
        </w:rPr>
        <w:t xml:space="preserve">             Portanto, em razão da importância dessa emenda aditiva para adequação à morfologia urbana, contamos com a aprovação desta emenda ao PL.  </w:t>
      </w:r>
    </w:p>
    <w:p w:rsidR="00431CB2" w:rsidRPr="002A6E88" w:rsidRDefault="00604213" w:rsidP="002A6E8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276" w:lineRule="auto"/>
        <w:ind w:left="-220" w:right="555"/>
        <w:jc w:val="both"/>
        <w:rPr>
          <w:rFonts w:ascii="Tahoma" w:eastAsia="Tahoma" w:hAnsi="Tahoma" w:cs="Tahoma"/>
          <w:sz w:val="22"/>
          <w:szCs w:val="22"/>
        </w:rPr>
      </w:pPr>
      <w:r w:rsidRPr="002A6E88">
        <w:rPr>
          <w:rFonts w:ascii="Tahoma" w:eastAsia="Tahoma" w:hAnsi="Tahoma" w:cs="Tahoma"/>
          <w:sz w:val="22"/>
          <w:szCs w:val="22"/>
        </w:rPr>
        <w:t>Fonte de consulta</w:t>
      </w:r>
    </w:p>
    <w:p w:rsidR="00431CB2" w:rsidRPr="002A6E88" w:rsidRDefault="00604213" w:rsidP="002A6E8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276" w:lineRule="auto"/>
        <w:ind w:left="-220" w:right="555"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2A6E88">
        <w:rPr>
          <w:rFonts w:ascii="Tahoma" w:eastAsia="Tahoma" w:hAnsi="Tahoma" w:cs="Tahoma"/>
          <w:sz w:val="22"/>
          <w:szCs w:val="22"/>
        </w:rPr>
        <w:t>https</w:t>
      </w:r>
      <w:proofErr w:type="gramEnd"/>
      <w:r w:rsidRPr="002A6E88">
        <w:rPr>
          <w:rFonts w:ascii="Tahoma" w:eastAsia="Tahoma" w:hAnsi="Tahoma" w:cs="Tahoma"/>
          <w:sz w:val="22"/>
          <w:szCs w:val="22"/>
        </w:rPr>
        <w:t>://www.archdaily.com.br/br/1002816/arquiteturas-que-celebram-o-sol-o-solsticio-incorporado-ao-projeto</w:t>
      </w:r>
    </w:p>
    <w:p w:rsidR="00431CB2" w:rsidRPr="002A6E88" w:rsidRDefault="00431CB2" w:rsidP="002A6E88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276" w:lineRule="auto"/>
        <w:ind w:left="-220" w:right="555"/>
        <w:jc w:val="both"/>
        <w:rPr>
          <w:rFonts w:ascii="Tahoma" w:eastAsia="Tahoma" w:hAnsi="Tahoma" w:cs="Tahoma"/>
          <w:sz w:val="22"/>
          <w:szCs w:val="22"/>
        </w:rPr>
      </w:pPr>
    </w:p>
    <w:sectPr w:rsidR="00431CB2" w:rsidRPr="002A6E88" w:rsidSect="00D910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134" w:right="706" w:bottom="568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D1D" w:rsidRDefault="00A80D1D" w:rsidP="00FF0E94">
      <w:r>
        <w:separator/>
      </w:r>
    </w:p>
  </w:endnote>
  <w:endnote w:type="continuationSeparator" w:id="1">
    <w:p w:rsidR="00A80D1D" w:rsidRDefault="00A80D1D" w:rsidP="00FF0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83" w:rsidRDefault="00852B8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922" w:rsidRPr="00852B83" w:rsidRDefault="00F76922" w:rsidP="00852B83">
    <w:pPr>
      <w:pStyle w:val="Rodap"/>
      <w:rPr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83" w:rsidRDefault="00852B8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D1D" w:rsidRDefault="00A80D1D" w:rsidP="00FF0E94">
      <w:r>
        <w:separator/>
      </w:r>
    </w:p>
  </w:footnote>
  <w:footnote w:type="continuationSeparator" w:id="1">
    <w:p w:rsidR="00A80D1D" w:rsidRDefault="00A80D1D" w:rsidP="00FF0E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83" w:rsidRDefault="00852B8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E94" w:rsidRDefault="00FF0E9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F0E94">
      <w:trPr>
        <w:cantSplit/>
        <w:trHeight w:val="1971"/>
        <w:tblHeader/>
      </w:trPr>
      <w:tc>
        <w:tcPr>
          <w:tcW w:w="1728" w:type="dxa"/>
        </w:tcPr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B6E23" w:rsidRDefault="00FB6E23" w:rsidP="00FB6E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Comissão de Meio Ambiente, Recursos Hídricos</w:t>
          </w:r>
        </w:p>
        <w:p w:rsidR="00FF0E94" w:rsidRDefault="00FB6E23" w:rsidP="00FB6E2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 xml:space="preserve"> </w:t>
          </w:r>
          <w:proofErr w:type="gramStart"/>
          <w:r>
            <w:rPr>
              <w:rFonts w:ascii="Tahoma" w:hAnsi="Tahoma" w:cs="Arial"/>
              <w:b/>
              <w:sz w:val="28"/>
              <w:szCs w:val="28"/>
            </w:rPr>
            <w:t>e</w:t>
          </w:r>
          <w:proofErr w:type="gramEnd"/>
          <w:r>
            <w:rPr>
              <w:rFonts w:ascii="Tahoma" w:hAnsi="Tahoma" w:cs="Arial"/>
              <w:b/>
              <w:sz w:val="28"/>
              <w:szCs w:val="28"/>
            </w:rPr>
            <w:t xml:space="preserve"> Sustentabilidade</w:t>
          </w: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 xml:space="preserve"> </w:t>
          </w:r>
        </w:p>
      </w:tc>
    </w:tr>
  </w:tbl>
  <w:p w:rsidR="00FF0E94" w:rsidRDefault="00FF0E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83" w:rsidRDefault="00852B8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02D5"/>
    <w:multiLevelType w:val="hybridMultilevel"/>
    <w:tmpl w:val="91A294B8"/>
    <w:lvl w:ilvl="0" w:tplc="564649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E94"/>
    <w:rsid w:val="000026F6"/>
    <w:rsid w:val="00125E35"/>
    <w:rsid w:val="00135370"/>
    <w:rsid w:val="001B7062"/>
    <w:rsid w:val="001D7A24"/>
    <w:rsid w:val="00295D45"/>
    <w:rsid w:val="002A6E88"/>
    <w:rsid w:val="00344616"/>
    <w:rsid w:val="00431CB2"/>
    <w:rsid w:val="005812FF"/>
    <w:rsid w:val="005C58EE"/>
    <w:rsid w:val="005E1E3E"/>
    <w:rsid w:val="00604213"/>
    <w:rsid w:val="00645BB7"/>
    <w:rsid w:val="00712F68"/>
    <w:rsid w:val="00763DE0"/>
    <w:rsid w:val="00852B83"/>
    <w:rsid w:val="0091259F"/>
    <w:rsid w:val="00991402"/>
    <w:rsid w:val="009D29AF"/>
    <w:rsid w:val="00A2389F"/>
    <w:rsid w:val="00A80D1D"/>
    <w:rsid w:val="00D91010"/>
    <w:rsid w:val="00DD060F"/>
    <w:rsid w:val="00E12856"/>
    <w:rsid w:val="00F76922"/>
    <w:rsid w:val="00F93F34"/>
    <w:rsid w:val="00F97034"/>
    <w:rsid w:val="00FB6E23"/>
    <w:rsid w:val="00FF0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0E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0E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0E9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0E9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0E94"/>
  </w:style>
  <w:style w:type="table" w:customStyle="1" w:styleId="TableNormal">
    <w:name w:val="Table Normal"/>
    <w:rsid w:val="00FF0E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0E9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0E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0E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label">
    <w:name w:val="label"/>
    <w:basedOn w:val="Fontepargpadro"/>
    <w:rsid w:val="00431CB2"/>
  </w:style>
  <w:style w:type="paragraph" w:styleId="PargrafodaLista">
    <w:name w:val="List Paragraph"/>
    <w:basedOn w:val="Normal"/>
    <w:uiPriority w:val="34"/>
    <w:qFormat/>
    <w:rsid w:val="00712F6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604213"/>
    <w:rPr>
      <w:i/>
      <w:iCs/>
    </w:rPr>
  </w:style>
  <w:style w:type="character" w:customStyle="1" w:styleId="CabealhoChar">
    <w:name w:val="Cabeçalho Char"/>
    <w:basedOn w:val="Fontepargpadro"/>
    <w:link w:val="Cabealho"/>
    <w:rsid w:val="00FB6E23"/>
    <w:rPr>
      <w:rFonts w:eastAsia="Lucida Sans Unicode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bzMZue0qAW0GLz5CmcuJRFafgQ==">AMUW2mWQ2d0cvsMEhwPYTB1HzXnCHcQgEmkEGGL4U2pcRROHA0SVCqMd7pVFf10HTNmXCjSLxcwQfbXyiiwOB8AkeSp6fRykeyRgB+DUIZ5WBc3ibkDGL4k=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545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2024-02-22T19:05:00Z</cp:lastPrinted>
  <dcterms:created xsi:type="dcterms:W3CDTF">2024-02-21T22:00:00Z</dcterms:created>
  <dcterms:modified xsi:type="dcterms:W3CDTF">2024-02-22T20:45:00Z</dcterms:modified>
</cp:coreProperties>
</file>