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000B81D" w14:textId="77777777" w:rsidR="00FF295E" w:rsidRPr="002F5678" w:rsidRDefault="007D7F2B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Emenda Nº      /202</w:t>
      </w:r>
      <w:r w:rsidR="005C444C" w:rsidRPr="002F5678">
        <w:rPr>
          <w:rFonts w:ascii="Arial" w:eastAsia="Tahoma" w:hAnsi="Arial" w:cs="Arial"/>
          <w:b/>
        </w:rPr>
        <w:t>3</w:t>
      </w:r>
    </w:p>
    <w:p w14:paraId="26A3FBEA" w14:textId="77777777" w:rsidR="00FF295E" w:rsidRPr="002F5678" w:rsidRDefault="00FF295E">
      <w:pPr>
        <w:rPr>
          <w:rFonts w:ascii="Arial" w:eastAsia="Tahoma" w:hAnsi="Arial" w:cs="Arial"/>
          <w:b/>
        </w:rPr>
      </w:pPr>
    </w:p>
    <w:p w14:paraId="7C040F81" w14:textId="77777777" w:rsidR="00FF295E" w:rsidRPr="002F5678" w:rsidRDefault="007D7F2B">
      <w:pPr>
        <w:pStyle w:val="Ttulo1"/>
        <w:ind w:left="0"/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 xml:space="preserve">Modificativa ao Projeto de Lei Nº. </w:t>
      </w:r>
      <w:r w:rsidR="00AA788D" w:rsidRPr="002F5678">
        <w:rPr>
          <w:rFonts w:ascii="Arial" w:eastAsia="Tahoma" w:hAnsi="Arial" w:cs="Arial"/>
          <w:b/>
        </w:rPr>
        <w:t>00</w:t>
      </w:r>
      <w:r w:rsidR="004461A5" w:rsidRPr="002F5678">
        <w:rPr>
          <w:rFonts w:ascii="Arial" w:eastAsia="Tahoma" w:hAnsi="Arial" w:cs="Arial"/>
          <w:b/>
        </w:rPr>
        <w:t>22</w:t>
      </w:r>
      <w:r w:rsidR="005C444C" w:rsidRPr="002F5678">
        <w:rPr>
          <w:rFonts w:ascii="Arial" w:eastAsia="Tahoma" w:hAnsi="Arial" w:cs="Arial"/>
          <w:b/>
        </w:rPr>
        <w:t>1</w:t>
      </w:r>
      <w:r w:rsidRPr="002F5678">
        <w:rPr>
          <w:rFonts w:ascii="Arial" w:eastAsia="Tahoma" w:hAnsi="Arial" w:cs="Arial"/>
          <w:b/>
        </w:rPr>
        <w:t>/202</w:t>
      </w:r>
      <w:r w:rsidR="004461A5" w:rsidRPr="002F5678">
        <w:rPr>
          <w:rFonts w:ascii="Arial" w:eastAsia="Tahoma" w:hAnsi="Arial" w:cs="Arial"/>
          <w:b/>
        </w:rPr>
        <w:t>3</w:t>
      </w:r>
    </w:p>
    <w:p w14:paraId="42D3BD5A" w14:textId="77777777" w:rsidR="00FF295E" w:rsidRPr="002F5678" w:rsidRDefault="00FF295E">
      <w:pPr>
        <w:ind w:left="6315"/>
        <w:jc w:val="both"/>
        <w:rPr>
          <w:rFonts w:ascii="Arial" w:eastAsia="Tahoma" w:hAnsi="Arial" w:cs="Arial"/>
        </w:rPr>
      </w:pPr>
    </w:p>
    <w:p w14:paraId="292B08DC" w14:textId="77777777" w:rsidR="00FF295E" w:rsidRPr="002F5678" w:rsidRDefault="00FF295E">
      <w:pPr>
        <w:jc w:val="center"/>
        <w:rPr>
          <w:rFonts w:ascii="Arial" w:eastAsia="Tahoma" w:hAnsi="Arial" w:cs="Arial"/>
        </w:rPr>
      </w:pPr>
    </w:p>
    <w:p w14:paraId="72FF9EEF" w14:textId="12AD7647" w:rsidR="00FF295E" w:rsidRPr="002F5678" w:rsidRDefault="007D7F2B">
      <w:pPr>
        <w:spacing w:line="360" w:lineRule="auto"/>
        <w:ind w:left="5103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2F5678">
        <w:rPr>
          <w:rFonts w:ascii="Arial" w:eastAsia="Tahoma" w:hAnsi="Arial" w:cs="Arial"/>
          <w:b/>
        </w:rPr>
        <w:t xml:space="preserve">Modifica-se </w:t>
      </w:r>
      <w:r w:rsidRPr="002F5678">
        <w:rPr>
          <w:rFonts w:ascii="Arial" w:eastAsia="Tahoma" w:hAnsi="Arial" w:cs="Arial"/>
        </w:rPr>
        <w:t xml:space="preserve">a redação do </w:t>
      </w:r>
      <w:r w:rsidRPr="002F5678">
        <w:rPr>
          <w:rFonts w:ascii="Arial" w:eastAsia="Tahoma" w:hAnsi="Arial" w:cs="Arial"/>
          <w:b/>
        </w:rPr>
        <w:t>Art.</w:t>
      </w:r>
      <w:r w:rsidRPr="002F5678">
        <w:rPr>
          <w:rFonts w:ascii="Arial" w:eastAsia="Tahoma" w:hAnsi="Arial" w:cs="Arial"/>
        </w:rPr>
        <w:t xml:space="preserve"> 1</w:t>
      </w:r>
      <w:r w:rsidR="005818BC" w:rsidRPr="002F5678">
        <w:rPr>
          <w:rFonts w:ascii="Arial" w:eastAsia="Tahoma" w:hAnsi="Arial" w:cs="Arial"/>
        </w:rPr>
        <w:t>29</w:t>
      </w:r>
      <w:r w:rsidR="00DB74F8" w:rsidRPr="002F5678">
        <w:rPr>
          <w:rFonts w:ascii="Arial" w:eastAsia="Tahoma" w:hAnsi="Arial" w:cs="Arial"/>
        </w:rPr>
        <w:t xml:space="preserve"> </w:t>
      </w:r>
      <w:bookmarkStart w:id="0" w:name="_Hlk159451072"/>
      <w:r w:rsidR="00DB74F8" w:rsidRPr="002F5678">
        <w:rPr>
          <w:rFonts w:ascii="Arial" w:eastAsia="Tahoma" w:hAnsi="Arial" w:cs="Arial"/>
        </w:rPr>
        <w:t xml:space="preserve">do </w:t>
      </w:r>
      <w:bookmarkStart w:id="1" w:name="_GoBack"/>
      <w:bookmarkEnd w:id="1"/>
      <w:r w:rsidR="00DB74F8" w:rsidRPr="002F5678">
        <w:rPr>
          <w:rFonts w:ascii="Arial" w:eastAsia="Tahoma" w:hAnsi="Arial" w:cs="Arial"/>
        </w:rPr>
        <w:t>CAPITULO VI – DA RECONVERSÃO DE EDIFICAÇÕES - RETROFIT</w:t>
      </w:r>
      <w:bookmarkEnd w:id="0"/>
      <w:r w:rsidRPr="002F5678">
        <w:rPr>
          <w:rFonts w:ascii="Arial" w:eastAsia="Tahoma" w:hAnsi="Arial" w:cs="Arial"/>
        </w:rPr>
        <w:t>,</w:t>
      </w:r>
      <w:r w:rsidR="00B023E4" w:rsidRPr="002F5678">
        <w:rPr>
          <w:rFonts w:ascii="Arial" w:eastAsia="Tahoma" w:hAnsi="Arial" w:cs="Arial"/>
        </w:rPr>
        <w:t xml:space="preserve"> </w:t>
      </w:r>
      <w:r w:rsidRPr="002F5678">
        <w:rPr>
          <w:rFonts w:ascii="Arial" w:eastAsia="Tahoma" w:hAnsi="Arial" w:cs="Arial"/>
        </w:rPr>
        <w:t xml:space="preserve">do Projeto de Lei Nº </w:t>
      </w:r>
      <w:r w:rsidR="00AA788D" w:rsidRPr="002F5678">
        <w:rPr>
          <w:rFonts w:ascii="Arial" w:eastAsia="Tahoma" w:hAnsi="Arial" w:cs="Arial"/>
        </w:rPr>
        <w:t>00</w:t>
      </w:r>
      <w:r w:rsidR="004461A5" w:rsidRPr="002F5678">
        <w:rPr>
          <w:rFonts w:ascii="Arial" w:eastAsia="Tahoma" w:hAnsi="Arial" w:cs="Arial"/>
        </w:rPr>
        <w:t>22</w:t>
      </w:r>
      <w:r w:rsidR="005C444C" w:rsidRPr="002F5678">
        <w:rPr>
          <w:rFonts w:ascii="Arial" w:eastAsia="Tahoma" w:hAnsi="Arial" w:cs="Arial"/>
        </w:rPr>
        <w:t>1</w:t>
      </w:r>
      <w:r w:rsidRPr="002F5678">
        <w:rPr>
          <w:rFonts w:ascii="Arial" w:eastAsia="Tahoma" w:hAnsi="Arial" w:cs="Arial"/>
        </w:rPr>
        <w:t>/202</w:t>
      </w:r>
      <w:r w:rsidR="004461A5" w:rsidRPr="002F5678">
        <w:rPr>
          <w:rFonts w:ascii="Arial" w:eastAsia="Tahoma" w:hAnsi="Arial" w:cs="Arial"/>
        </w:rPr>
        <w:t>3</w:t>
      </w:r>
      <w:r w:rsidR="00B023E4" w:rsidRPr="002F5678">
        <w:rPr>
          <w:rFonts w:ascii="Arial" w:eastAsia="Tahoma" w:hAnsi="Arial" w:cs="Arial"/>
        </w:rPr>
        <w:t>.</w:t>
      </w:r>
      <w:r w:rsidR="00AA6188" w:rsidRPr="00AA6188">
        <w:rPr>
          <w:rFonts w:ascii="Arial" w:eastAsia="Tahoma" w:hAnsi="Arial" w:cs="Arial"/>
          <w:color w:val="000000"/>
        </w:rPr>
        <w:t xml:space="preserve"> </w:t>
      </w:r>
      <w:r w:rsidR="00AA6188" w:rsidRPr="00560A16">
        <w:rPr>
          <w:rFonts w:ascii="Arial" w:eastAsia="Tahoma" w:hAnsi="Arial" w:cs="Arial"/>
          <w:color w:val="000000"/>
        </w:rPr>
        <w:t>Lei Urbanística de Niterói, seu zoneamento, a aplicação de instrumentos de política urbana e as regras gerais de licenciamento da atividade edilícia e de fiscalização da execução de obras.</w:t>
      </w:r>
    </w:p>
    <w:p w14:paraId="1DC74920" w14:textId="77777777" w:rsidR="00FF295E" w:rsidRDefault="00FF295E">
      <w:pPr>
        <w:ind w:left="567"/>
        <w:jc w:val="both"/>
        <w:rPr>
          <w:rFonts w:ascii="Arial" w:eastAsia="Tahoma" w:hAnsi="Arial" w:cs="Arial"/>
        </w:rPr>
      </w:pPr>
    </w:p>
    <w:p w14:paraId="462ED9C6" w14:textId="77777777" w:rsidR="00AA6188" w:rsidRPr="002F5678" w:rsidRDefault="00AA6188">
      <w:pPr>
        <w:ind w:left="567"/>
        <w:jc w:val="both"/>
        <w:rPr>
          <w:rFonts w:ascii="Arial" w:eastAsia="Tahoma" w:hAnsi="Arial" w:cs="Arial"/>
        </w:rPr>
      </w:pPr>
    </w:p>
    <w:p w14:paraId="014D0BD3" w14:textId="19F8B6C6" w:rsidR="00FF295E" w:rsidRPr="002F5678" w:rsidRDefault="007D7F2B">
      <w:pPr>
        <w:spacing w:line="360" w:lineRule="auto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2F5678">
        <w:rPr>
          <w:rFonts w:ascii="Arial" w:eastAsia="Tahoma" w:hAnsi="Arial" w:cs="Arial"/>
          <w:b/>
        </w:rPr>
        <w:t xml:space="preserve">Art.1º - Modifica-se </w:t>
      </w:r>
      <w:r w:rsidRPr="002F5678">
        <w:rPr>
          <w:rFonts w:ascii="Arial" w:eastAsia="Tahoma" w:hAnsi="Arial" w:cs="Arial"/>
        </w:rPr>
        <w:t xml:space="preserve">a redação do </w:t>
      </w:r>
      <w:r w:rsidRPr="002F5678">
        <w:rPr>
          <w:rFonts w:ascii="Arial" w:eastAsia="Tahoma" w:hAnsi="Arial" w:cs="Arial"/>
          <w:b/>
        </w:rPr>
        <w:t>Art.</w:t>
      </w:r>
      <w:r w:rsidRPr="002F5678">
        <w:rPr>
          <w:rFonts w:ascii="Arial" w:eastAsia="Tahoma" w:hAnsi="Arial" w:cs="Arial"/>
        </w:rPr>
        <w:t xml:space="preserve"> 1</w:t>
      </w:r>
      <w:r w:rsidR="00B023E4" w:rsidRPr="002F5678">
        <w:rPr>
          <w:rFonts w:ascii="Arial" w:eastAsia="Tahoma" w:hAnsi="Arial" w:cs="Arial"/>
        </w:rPr>
        <w:t>29</w:t>
      </w:r>
      <w:r w:rsidR="00B023E4" w:rsidRPr="002F5678">
        <w:rPr>
          <w:rFonts w:ascii="Arial" w:hAnsi="Arial" w:cs="Arial"/>
        </w:rPr>
        <w:t xml:space="preserve"> </w:t>
      </w:r>
      <w:r w:rsidR="00B023E4" w:rsidRPr="002F5678">
        <w:rPr>
          <w:rFonts w:ascii="Arial" w:eastAsia="Tahoma" w:hAnsi="Arial" w:cs="Arial"/>
        </w:rPr>
        <w:t>do CAPITULO VI – DA RECONVERSÃO DE EDIFICAÇÕES - RETROFIT</w:t>
      </w:r>
      <w:r w:rsidRPr="002F5678">
        <w:rPr>
          <w:rFonts w:ascii="Arial" w:eastAsia="Tahoma" w:hAnsi="Arial" w:cs="Arial"/>
        </w:rPr>
        <w:t xml:space="preserve">, do Projeto de Lei Nº </w:t>
      </w:r>
      <w:r w:rsidR="00AA788D" w:rsidRPr="002F5678">
        <w:rPr>
          <w:rFonts w:ascii="Arial" w:eastAsia="Tahoma" w:hAnsi="Arial" w:cs="Arial"/>
        </w:rPr>
        <w:t>00</w:t>
      </w:r>
      <w:r w:rsidR="004461A5" w:rsidRPr="002F5678">
        <w:rPr>
          <w:rFonts w:ascii="Arial" w:eastAsia="Tahoma" w:hAnsi="Arial" w:cs="Arial"/>
        </w:rPr>
        <w:t>22</w:t>
      </w:r>
      <w:r w:rsidR="000509EF" w:rsidRPr="002F5678">
        <w:rPr>
          <w:rFonts w:ascii="Arial" w:eastAsia="Tahoma" w:hAnsi="Arial" w:cs="Arial"/>
        </w:rPr>
        <w:t>1</w:t>
      </w:r>
      <w:r w:rsidRPr="002F5678">
        <w:rPr>
          <w:rFonts w:ascii="Arial" w:eastAsia="Tahoma" w:hAnsi="Arial" w:cs="Arial"/>
        </w:rPr>
        <w:t>/202</w:t>
      </w:r>
      <w:r w:rsidR="004461A5" w:rsidRPr="002F5678">
        <w:rPr>
          <w:rFonts w:ascii="Arial" w:eastAsia="Tahoma" w:hAnsi="Arial" w:cs="Arial"/>
        </w:rPr>
        <w:t>3</w:t>
      </w:r>
      <w:r w:rsidRPr="002F5678">
        <w:rPr>
          <w:rFonts w:ascii="Arial" w:eastAsia="Tahoma" w:hAnsi="Arial" w:cs="Arial"/>
        </w:rPr>
        <w:t>,</w:t>
      </w:r>
      <w:r w:rsidRPr="002F5678">
        <w:rPr>
          <w:rFonts w:ascii="Arial" w:eastAsia="Tahoma" w:hAnsi="Arial" w:cs="Arial"/>
          <w:color w:val="000000"/>
          <w:highlight w:val="white"/>
        </w:rPr>
        <w:t xml:space="preserve"> conforme a seguir.</w:t>
      </w:r>
    </w:p>
    <w:p w14:paraId="03CB3DCD" w14:textId="77777777" w:rsidR="00FF295E" w:rsidRPr="002F5678" w:rsidRDefault="00FF295E">
      <w:pPr>
        <w:spacing w:line="360" w:lineRule="auto"/>
        <w:jc w:val="both"/>
        <w:rPr>
          <w:rFonts w:ascii="Arial" w:eastAsia="Tahoma" w:hAnsi="Arial" w:cs="Arial"/>
          <w:b/>
          <w:color w:val="000000"/>
          <w:highlight w:val="white"/>
        </w:rPr>
      </w:pPr>
    </w:p>
    <w:p w14:paraId="6A6E5468" w14:textId="62497E60" w:rsidR="00702F05" w:rsidRPr="002F5678" w:rsidRDefault="00702F05" w:rsidP="00702F05">
      <w:pPr>
        <w:pBdr>
          <w:top w:val="nil"/>
          <w:left w:val="nil"/>
          <w:bottom w:val="nil"/>
          <w:right w:val="nil"/>
          <w:between w:val="nil"/>
        </w:pBdr>
        <w:ind w:left="139" w:right="136"/>
        <w:jc w:val="both"/>
        <w:rPr>
          <w:rFonts w:ascii="Arial" w:hAnsi="Arial" w:cs="Arial"/>
          <w:color w:val="000000"/>
        </w:rPr>
      </w:pPr>
      <w:r w:rsidRPr="002F5678">
        <w:rPr>
          <w:rFonts w:ascii="Arial" w:eastAsia="Arial" w:hAnsi="Arial" w:cs="Arial"/>
          <w:b/>
          <w:color w:val="000000"/>
        </w:rPr>
        <w:t xml:space="preserve">Art. 129. </w:t>
      </w:r>
      <w:r w:rsidRPr="002F5678">
        <w:rPr>
          <w:rFonts w:ascii="Arial" w:hAnsi="Arial" w:cs="Arial"/>
          <w:color w:val="000000"/>
        </w:rPr>
        <w:t xml:space="preserve">Para estímulo </w:t>
      </w:r>
      <w:r w:rsidR="00AA6188" w:rsidRPr="002F5678">
        <w:rPr>
          <w:rFonts w:ascii="Arial" w:hAnsi="Arial" w:cs="Arial"/>
          <w:color w:val="000000"/>
        </w:rPr>
        <w:t>à</w:t>
      </w:r>
      <w:r w:rsidRPr="002F5678">
        <w:rPr>
          <w:rFonts w:ascii="Arial" w:hAnsi="Arial" w:cs="Arial"/>
          <w:color w:val="000000"/>
        </w:rPr>
        <w:t xml:space="preserve"> produção habitacional, inclusive EHIS, em áreas de ocupação consolidada, tendo como objetivo ordenar o pleno desenvolvimento das funções sociais da propriedade e o uso socialmente justo, equilibrado e diversificado destes territórios, fica permitida a transformação para o uso residencial daquelas edificações existentes ou</w:t>
      </w:r>
      <w:r w:rsidR="00446DEC" w:rsidRPr="002F5678">
        <w:rPr>
          <w:rFonts w:ascii="Arial" w:hAnsi="Arial" w:cs="Arial"/>
          <w:color w:val="000000"/>
        </w:rPr>
        <w:t xml:space="preserve"> </w:t>
      </w:r>
      <w:r w:rsidR="00446DEC" w:rsidRPr="002F5678">
        <w:rPr>
          <w:rFonts w:ascii="Arial" w:hAnsi="Arial" w:cs="Arial"/>
          <w:b/>
          <w:bCs/>
          <w:color w:val="000000"/>
        </w:rPr>
        <w:t>com projetos aprovados e licenciados a partir de 01 de janeiro de 2020</w:t>
      </w:r>
      <w:r w:rsidR="00FA5740" w:rsidRPr="002F5678">
        <w:rPr>
          <w:rFonts w:ascii="Arial" w:hAnsi="Arial" w:cs="Arial"/>
          <w:b/>
          <w:bCs/>
          <w:color w:val="000000"/>
        </w:rPr>
        <w:t xml:space="preserve"> até</w:t>
      </w:r>
      <w:r w:rsidRPr="002F5678">
        <w:rPr>
          <w:rFonts w:ascii="Arial" w:hAnsi="Arial" w:cs="Arial"/>
          <w:b/>
          <w:bCs/>
          <w:color w:val="000000"/>
        </w:rPr>
        <w:t xml:space="preserve"> </w:t>
      </w:r>
      <w:r w:rsidR="00FA5740" w:rsidRPr="002F5678">
        <w:rPr>
          <w:rFonts w:ascii="Arial" w:hAnsi="Arial" w:cs="Arial"/>
          <w:b/>
          <w:bCs/>
          <w:color w:val="000000"/>
        </w:rPr>
        <w:t>30 de junho de 2023</w:t>
      </w:r>
      <w:r w:rsidR="00FA5740" w:rsidRPr="002F5678">
        <w:rPr>
          <w:rFonts w:ascii="Arial" w:hAnsi="Arial" w:cs="Arial"/>
          <w:color w:val="000000"/>
        </w:rPr>
        <w:t xml:space="preserve">, </w:t>
      </w:r>
      <w:r w:rsidRPr="002F5678">
        <w:rPr>
          <w:rFonts w:ascii="Arial" w:hAnsi="Arial" w:cs="Arial"/>
          <w:color w:val="000000"/>
        </w:rPr>
        <w:t>nas macroáreas de Integração Metropolitana e de Urbanização Consolidada, as quais comprovadamente possuam uso não residencial.</w:t>
      </w:r>
    </w:p>
    <w:p w14:paraId="78E0CC59" w14:textId="77777777" w:rsidR="00FA5740" w:rsidRDefault="00FA5740" w:rsidP="00702F05">
      <w:pPr>
        <w:pBdr>
          <w:top w:val="nil"/>
          <w:left w:val="nil"/>
          <w:bottom w:val="nil"/>
          <w:right w:val="nil"/>
          <w:between w:val="nil"/>
        </w:pBdr>
        <w:ind w:left="139" w:right="136"/>
        <w:jc w:val="both"/>
        <w:rPr>
          <w:rFonts w:ascii="Arial" w:hAnsi="Arial" w:cs="Arial"/>
          <w:color w:val="000000"/>
        </w:rPr>
      </w:pPr>
    </w:p>
    <w:p w14:paraId="2088EFED" w14:textId="77777777" w:rsidR="00AA6188" w:rsidRPr="002F5678" w:rsidRDefault="00AA6188" w:rsidP="00702F05">
      <w:pPr>
        <w:pBdr>
          <w:top w:val="nil"/>
          <w:left w:val="nil"/>
          <w:bottom w:val="nil"/>
          <w:right w:val="nil"/>
          <w:between w:val="nil"/>
        </w:pBdr>
        <w:ind w:left="139" w:right="136"/>
        <w:jc w:val="both"/>
        <w:rPr>
          <w:rFonts w:ascii="Arial" w:hAnsi="Arial" w:cs="Arial"/>
          <w:color w:val="000000"/>
        </w:rPr>
      </w:pPr>
    </w:p>
    <w:p w14:paraId="3DD05219" w14:textId="7BD7ED44" w:rsidR="00FF295E" w:rsidRPr="002F5678" w:rsidRDefault="00484482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</w:t>
      </w:r>
      <w:r w:rsidR="00FA5740" w:rsidRPr="002F5678">
        <w:rPr>
          <w:rFonts w:ascii="Arial" w:eastAsia="Tahoma" w:hAnsi="Arial" w:cs="Arial"/>
        </w:rPr>
        <w:t>2</w:t>
      </w:r>
      <w:r w:rsidR="007D7F2B" w:rsidRPr="002F5678">
        <w:rPr>
          <w:rFonts w:ascii="Arial" w:eastAsia="Tahoma" w:hAnsi="Arial" w:cs="Arial"/>
        </w:rPr>
        <w:t xml:space="preserve"> de </w:t>
      </w:r>
      <w:r w:rsidR="00FA5740" w:rsidRPr="002F5678">
        <w:rPr>
          <w:rFonts w:ascii="Arial" w:eastAsia="Tahoma" w:hAnsi="Arial" w:cs="Arial"/>
        </w:rPr>
        <w:t>feverei</w:t>
      </w:r>
      <w:r w:rsidR="00D220AC" w:rsidRPr="002F5678">
        <w:rPr>
          <w:rFonts w:ascii="Arial" w:eastAsia="Tahoma" w:hAnsi="Arial" w:cs="Arial"/>
        </w:rPr>
        <w:t xml:space="preserve">ro </w:t>
      </w:r>
      <w:r w:rsidR="007D7F2B" w:rsidRPr="002F5678">
        <w:rPr>
          <w:rFonts w:ascii="Arial" w:eastAsia="Tahoma" w:hAnsi="Arial" w:cs="Arial"/>
        </w:rPr>
        <w:t>de 202</w:t>
      </w:r>
      <w:r w:rsidR="00FA5740" w:rsidRPr="002F5678">
        <w:rPr>
          <w:rFonts w:ascii="Arial" w:eastAsia="Tahoma" w:hAnsi="Arial" w:cs="Arial"/>
        </w:rPr>
        <w:t>4</w:t>
      </w:r>
      <w:r w:rsidR="007D7F2B" w:rsidRPr="002F5678">
        <w:rPr>
          <w:rFonts w:ascii="Arial" w:eastAsia="Tahoma" w:hAnsi="Arial" w:cs="Arial"/>
        </w:rPr>
        <w:t>.</w:t>
      </w:r>
    </w:p>
    <w:p w14:paraId="7BEA6CE2" w14:textId="77777777" w:rsidR="00FF295E" w:rsidRPr="002F5678" w:rsidRDefault="00FF295E">
      <w:pPr>
        <w:pStyle w:val="Ttulo5"/>
        <w:spacing w:before="0" w:after="0"/>
        <w:jc w:val="center"/>
        <w:rPr>
          <w:rFonts w:ascii="Arial" w:eastAsia="Tahoma" w:hAnsi="Arial" w:cs="Arial"/>
          <w:sz w:val="24"/>
          <w:szCs w:val="24"/>
        </w:rPr>
      </w:pPr>
    </w:p>
    <w:p w14:paraId="64546B76" w14:textId="77777777" w:rsidR="00DE2F6A" w:rsidRDefault="00DE2F6A">
      <w:pPr>
        <w:shd w:val="clear" w:color="auto" w:fill="FFFFFF"/>
        <w:jc w:val="center"/>
        <w:rPr>
          <w:rFonts w:ascii="Arial" w:eastAsia="Tahoma" w:hAnsi="Arial" w:cs="Arial"/>
          <w:b/>
        </w:rPr>
      </w:pPr>
    </w:p>
    <w:p w14:paraId="6289A5A6" w14:textId="77777777" w:rsidR="00DE2F6A" w:rsidRDefault="00DE2F6A">
      <w:pPr>
        <w:shd w:val="clear" w:color="auto" w:fill="FFFFFF"/>
        <w:jc w:val="center"/>
        <w:rPr>
          <w:rFonts w:ascii="Arial" w:eastAsia="Tahoma" w:hAnsi="Arial" w:cs="Arial"/>
          <w:b/>
        </w:rPr>
      </w:pPr>
    </w:p>
    <w:p w14:paraId="1C4B3299" w14:textId="77777777" w:rsidR="00AA6188" w:rsidRDefault="00AA6188">
      <w:pPr>
        <w:shd w:val="clear" w:color="auto" w:fill="FFFFFF"/>
        <w:jc w:val="center"/>
        <w:rPr>
          <w:rFonts w:ascii="Arial" w:eastAsia="Tahoma" w:hAnsi="Arial" w:cs="Arial"/>
          <w:b/>
        </w:rPr>
      </w:pPr>
    </w:p>
    <w:p w14:paraId="00181B0F" w14:textId="77777777" w:rsidR="00F948F4" w:rsidRPr="00F948F4" w:rsidRDefault="00F948F4" w:rsidP="00F948F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28C0114B" w14:textId="77777777" w:rsidR="00F948F4" w:rsidRPr="00F948F4" w:rsidRDefault="00F948F4" w:rsidP="00F948F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6B643865" w14:textId="77777777" w:rsidR="00F948F4" w:rsidRPr="00F948F4" w:rsidRDefault="00F948F4" w:rsidP="00F948F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ED465D6" w14:textId="77777777" w:rsidR="00F948F4" w:rsidRPr="00F948F4" w:rsidRDefault="00F948F4" w:rsidP="00F948F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F948F4" w:rsidRPr="00F948F4" w14:paraId="41362341" w14:textId="77777777" w:rsidTr="00ED5C19">
        <w:tc>
          <w:tcPr>
            <w:tcW w:w="4321" w:type="dxa"/>
            <w:shd w:val="clear" w:color="auto" w:fill="auto"/>
          </w:tcPr>
          <w:p w14:paraId="3553B95B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67FAA036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E134C0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1EB16A44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1746753E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050C8A64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25E104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948F4" w:rsidRPr="00F948F4" w14:paraId="1021BFF1" w14:textId="77777777" w:rsidTr="00ED5C19">
        <w:tc>
          <w:tcPr>
            <w:tcW w:w="4321" w:type="dxa"/>
            <w:shd w:val="clear" w:color="auto" w:fill="auto"/>
          </w:tcPr>
          <w:p w14:paraId="54F3556B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1620DDCA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E941CA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608D86B9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307644B8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3714B2" w14:textId="77777777" w:rsidR="00F948F4" w:rsidRPr="00F948F4" w:rsidRDefault="00F948F4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577E382C" w14:textId="282A4958" w:rsidR="00D220AC" w:rsidRPr="00F948F4" w:rsidRDefault="00D220AC" w:rsidP="00F948F4">
      <w:pPr>
        <w:shd w:val="clear" w:color="auto" w:fill="FFFFFF"/>
        <w:spacing w:line="276" w:lineRule="auto"/>
        <w:rPr>
          <w:rFonts w:ascii="Arial" w:eastAsia="Tahoma" w:hAnsi="Arial" w:cs="Arial"/>
          <w:b/>
        </w:rPr>
      </w:pPr>
    </w:p>
    <w:p w14:paraId="709E8BE3" w14:textId="77777777" w:rsidR="00AA6188" w:rsidRDefault="00AA6188" w:rsidP="00AA6188">
      <w:pPr>
        <w:rPr>
          <w:rFonts w:ascii="Arial" w:eastAsia="Tahoma" w:hAnsi="Arial" w:cs="Arial"/>
          <w:b/>
        </w:rPr>
      </w:pPr>
    </w:p>
    <w:p w14:paraId="72FC75FB" w14:textId="5CF2FB46" w:rsidR="00AA6188" w:rsidRPr="002F5678" w:rsidRDefault="00AA6188" w:rsidP="00AA6188">
      <w:pPr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JUSTIFICATIVA:</w:t>
      </w:r>
    </w:p>
    <w:p w14:paraId="5A471132" w14:textId="77777777" w:rsidR="00AA6188" w:rsidRPr="002F5678" w:rsidRDefault="00AA6188" w:rsidP="00AA6188">
      <w:pPr>
        <w:rPr>
          <w:rFonts w:ascii="Arial" w:eastAsia="Tahoma" w:hAnsi="Arial" w:cs="Arial"/>
          <w:b/>
        </w:rPr>
      </w:pPr>
    </w:p>
    <w:p w14:paraId="736BA478" w14:textId="77777777" w:rsidR="00AA6188" w:rsidRPr="002F5678" w:rsidRDefault="00AA6188" w:rsidP="00AA618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  <w:color w:val="000000"/>
        </w:rPr>
        <w:t>Em decorrência da grave crise econômica e creditícia no País, especialmente aquela gerada pela Pandemia da COVID, os recursos de financiamentos pelo SFH e SFI ao setor da construção tornaram-se escassos ou inexistentes, impedindo a obtenção tempestiva de recursos financeiros para dar seguimento em ritmo normal aos empreendimentos, com a consequente queda das atividades em geral e, também, da geração de empregos e renda, além de frustrar os objetivos econômicos e sociais que advirão com a entrega desses empreendimentos, beneficiando a cidade como um todo.</w:t>
      </w:r>
    </w:p>
    <w:sectPr w:rsidR="00AA6188" w:rsidRPr="002F5678" w:rsidSect="00FC784E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839B5" w14:textId="77777777" w:rsidR="00FC784E" w:rsidRDefault="00FC784E" w:rsidP="00FF295E">
      <w:r>
        <w:separator/>
      </w:r>
    </w:p>
  </w:endnote>
  <w:endnote w:type="continuationSeparator" w:id="0">
    <w:p w14:paraId="02AE43EB" w14:textId="77777777" w:rsidR="00FC784E" w:rsidRDefault="00FC784E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1575" w14:textId="77777777" w:rsidR="00AA6188" w:rsidRPr="00587E8E" w:rsidRDefault="00AA6188" w:rsidP="00AA61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7FB146C" w14:textId="77777777" w:rsidR="00AA6188" w:rsidRPr="00587E8E" w:rsidRDefault="00AA6188" w:rsidP="00AA61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2600DAC7" w14:textId="77777777" w:rsidR="00661ECC" w:rsidRDefault="00661ECC" w:rsidP="00661ECC">
    <w:pPr>
      <w:pStyle w:val="Rodap"/>
    </w:pPr>
  </w:p>
  <w:p w14:paraId="09D5B8F9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FA834" w14:textId="77777777" w:rsidR="00FC784E" w:rsidRDefault="00FC784E" w:rsidP="00FF295E">
      <w:r>
        <w:separator/>
      </w:r>
    </w:p>
  </w:footnote>
  <w:footnote w:type="continuationSeparator" w:id="0">
    <w:p w14:paraId="115923E7" w14:textId="77777777" w:rsidR="00FC784E" w:rsidRDefault="00FC784E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55A58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7CBA6F29" w14:textId="77777777">
      <w:trPr>
        <w:cantSplit/>
        <w:trHeight w:val="1971"/>
        <w:tblHeader/>
      </w:trPr>
      <w:tc>
        <w:tcPr>
          <w:tcW w:w="1728" w:type="dxa"/>
        </w:tcPr>
        <w:p w14:paraId="1577CEB1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670FBDB1" wp14:editId="61ED0F6F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041255B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4E42F1B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93FFBA1" w14:textId="77777777" w:rsidR="00FF295E" w:rsidRPr="00BC28F8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b/>
              <w:color w:val="000000"/>
              <w:sz w:val="52"/>
              <w:szCs w:val="52"/>
            </w:rPr>
          </w:pPr>
          <w:r w:rsidRPr="00BC28F8">
            <w:rPr>
              <w:rFonts w:ascii="Arial" w:eastAsia="Tahoma" w:hAnsi="Arial" w:cs="Arial"/>
              <w:b/>
              <w:color w:val="000000"/>
              <w:sz w:val="52"/>
              <w:szCs w:val="52"/>
            </w:rPr>
            <w:t>Câmara Municipal de Niterói</w:t>
          </w:r>
        </w:p>
        <w:p w14:paraId="26A53CE3" w14:textId="77777777" w:rsidR="00FF295E" w:rsidRPr="002F5678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color w:val="000000"/>
              <w:sz w:val="4"/>
              <w:szCs w:val="4"/>
            </w:rPr>
          </w:pPr>
        </w:p>
        <w:p w14:paraId="047AF94B" w14:textId="33485FDB" w:rsidR="00FF295E" w:rsidRDefault="006938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69381B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 xml:space="preserve">Comissão Permanente de Urbanismo, Obras, Serviços Públicos, </w:t>
          </w:r>
          <w:r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Transportes e Trânsito</w:t>
          </w:r>
        </w:p>
      </w:tc>
    </w:tr>
  </w:tbl>
  <w:p w14:paraId="17476B96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5E"/>
    <w:rsid w:val="000509EF"/>
    <w:rsid w:val="00087581"/>
    <w:rsid w:val="000A6EFE"/>
    <w:rsid w:val="000B2A93"/>
    <w:rsid w:val="00217041"/>
    <w:rsid w:val="002F5678"/>
    <w:rsid w:val="00416A1D"/>
    <w:rsid w:val="004461A5"/>
    <w:rsid w:val="00446DEC"/>
    <w:rsid w:val="004662CE"/>
    <w:rsid w:val="00484482"/>
    <w:rsid w:val="00494D9B"/>
    <w:rsid w:val="004F6546"/>
    <w:rsid w:val="00505805"/>
    <w:rsid w:val="005159D5"/>
    <w:rsid w:val="00575983"/>
    <w:rsid w:val="005818BC"/>
    <w:rsid w:val="005C444C"/>
    <w:rsid w:val="005C62A6"/>
    <w:rsid w:val="005F682E"/>
    <w:rsid w:val="00661ECC"/>
    <w:rsid w:val="0069381B"/>
    <w:rsid w:val="006D7494"/>
    <w:rsid w:val="00702F05"/>
    <w:rsid w:val="007A6C12"/>
    <w:rsid w:val="007D7F2B"/>
    <w:rsid w:val="00846A55"/>
    <w:rsid w:val="008B61DB"/>
    <w:rsid w:val="008F0B80"/>
    <w:rsid w:val="009D3269"/>
    <w:rsid w:val="00A0050F"/>
    <w:rsid w:val="00AA532E"/>
    <w:rsid w:val="00AA6188"/>
    <w:rsid w:val="00AA788D"/>
    <w:rsid w:val="00B01C5D"/>
    <w:rsid w:val="00B023E4"/>
    <w:rsid w:val="00BC28F8"/>
    <w:rsid w:val="00D220AC"/>
    <w:rsid w:val="00D41EFB"/>
    <w:rsid w:val="00DB74F8"/>
    <w:rsid w:val="00DE2F6A"/>
    <w:rsid w:val="00E3061C"/>
    <w:rsid w:val="00E64030"/>
    <w:rsid w:val="00F80501"/>
    <w:rsid w:val="00F948F4"/>
    <w:rsid w:val="00FA5740"/>
    <w:rsid w:val="00FC784E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70CF4"/>
  <w15:docId w15:val="{FED24F89-A051-475F-94A4-FFA663D6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310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 Fenix</cp:lastModifiedBy>
  <cp:revision>14</cp:revision>
  <dcterms:created xsi:type="dcterms:W3CDTF">2024-02-21T18:27:00Z</dcterms:created>
  <dcterms:modified xsi:type="dcterms:W3CDTF">2024-02-23T16:45:00Z</dcterms:modified>
</cp:coreProperties>
</file>