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E2DD7" w:rsidRDefault="00DE2DD7" w:rsidP="00D43A2F">
      <w:pPr>
        <w:pStyle w:val="Ttulo1"/>
        <w:tabs>
          <w:tab w:val="left" w:pos="1133"/>
          <w:tab w:val="center" w:pos="4818"/>
          <w:tab w:val="left" w:pos="11196"/>
        </w:tabs>
        <w:ind w:left="0"/>
        <w:jc w:val="left"/>
        <w:rPr>
          <w:rFonts w:ascii="Tahoma" w:eastAsia="Tahoma" w:hAnsi="Tahoma" w:cs="Tahoma"/>
          <w:b/>
        </w:rPr>
      </w:pPr>
    </w:p>
    <w:p w:rsidR="00EB25C6" w:rsidRDefault="006241EF">
      <w:pPr>
        <w:pStyle w:val="Ttulo1"/>
        <w:tabs>
          <w:tab w:val="left" w:pos="1133"/>
          <w:tab w:val="center" w:pos="4818"/>
          <w:tab w:val="left" w:pos="11196"/>
        </w:tabs>
        <w:ind w:left="0"/>
        <w:rPr>
          <w:rFonts w:ascii="Tahoma" w:eastAsia="Tahoma" w:hAnsi="Tahoma" w:cs="Tahoma"/>
          <w:b/>
        </w:rPr>
      </w:pPr>
      <w:r>
        <w:rPr>
          <w:rFonts w:ascii="Tahoma" w:eastAsia="Tahoma" w:hAnsi="Tahoma" w:cs="Tahoma"/>
          <w:b/>
        </w:rPr>
        <w:t>Emenda Nº      /2024</w:t>
      </w:r>
    </w:p>
    <w:p w:rsidR="00EB25C6" w:rsidRDefault="00EB25C6">
      <w:pPr>
        <w:rPr>
          <w:rFonts w:ascii="Tahoma" w:eastAsia="Tahoma" w:hAnsi="Tahoma" w:cs="Tahoma"/>
          <w:b/>
        </w:rPr>
      </w:pPr>
    </w:p>
    <w:p w:rsidR="00EB25C6" w:rsidRDefault="006241EF" w:rsidP="00864CFC">
      <w:pPr>
        <w:pStyle w:val="Ttulo1"/>
        <w:ind w:left="0"/>
        <w:rPr>
          <w:rFonts w:ascii="Tahoma" w:eastAsia="Tahoma" w:hAnsi="Tahoma" w:cs="Tahoma"/>
        </w:rPr>
      </w:pPr>
      <w:r>
        <w:rPr>
          <w:rFonts w:ascii="Tahoma" w:eastAsia="Tahoma" w:hAnsi="Tahoma" w:cs="Tahoma"/>
          <w:b/>
        </w:rPr>
        <w:t>Modificativa ao Projeto de Lei Nº. 221/2023</w:t>
      </w:r>
    </w:p>
    <w:p w:rsidR="00EB25C6" w:rsidRDefault="00EB25C6">
      <w:pPr>
        <w:ind w:left="6315"/>
        <w:jc w:val="both"/>
        <w:rPr>
          <w:rFonts w:ascii="Tahoma" w:eastAsia="Tahoma" w:hAnsi="Tahoma" w:cs="Tahoma"/>
          <w:color w:val="000000"/>
        </w:rPr>
      </w:pPr>
    </w:p>
    <w:p w:rsidR="00EB25C6" w:rsidRDefault="00EB25C6">
      <w:pPr>
        <w:jc w:val="center"/>
        <w:rPr>
          <w:rFonts w:ascii="Tahoma" w:eastAsia="Tahoma" w:hAnsi="Tahoma" w:cs="Tahoma"/>
        </w:rPr>
      </w:pPr>
    </w:p>
    <w:p w:rsidR="00EB25C6" w:rsidRPr="00864CFC" w:rsidRDefault="0080696C" w:rsidP="00864CFC">
      <w:pPr>
        <w:spacing w:line="360" w:lineRule="auto"/>
        <w:ind w:left="5103"/>
        <w:jc w:val="both"/>
        <w:rPr>
          <w:rFonts w:ascii="Tahoma" w:eastAsia="Tahoma" w:hAnsi="Tahoma" w:cs="Tahoma"/>
          <w:b/>
          <w:color w:val="000000"/>
          <w:sz w:val="22"/>
          <w:szCs w:val="22"/>
          <w:highlight w:val="white"/>
        </w:rPr>
      </w:pPr>
      <w:r w:rsidRPr="00864CFC">
        <w:rPr>
          <w:rFonts w:ascii="Tahoma" w:eastAsia="Tahoma" w:hAnsi="Tahoma" w:cs="Tahoma"/>
          <w:b/>
          <w:sz w:val="22"/>
          <w:szCs w:val="22"/>
        </w:rPr>
        <w:t>Modifica</w:t>
      </w:r>
      <w:r w:rsidR="006241EF" w:rsidRPr="00864CFC">
        <w:rPr>
          <w:rFonts w:ascii="Tahoma" w:eastAsia="Tahoma" w:hAnsi="Tahoma" w:cs="Tahoma"/>
          <w:b/>
          <w:sz w:val="22"/>
          <w:szCs w:val="22"/>
        </w:rPr>
        <w:t xml:space="preserve"> o</w:t>
      </w:r>
      <w:r w:rsidR="00805CD0">
        <w:rPr>
          <w:rFonts w:ascii="Tahoma" w:eastAsia="Tahoma" w:hAnsi="Tahoma" w:cs="Tahoma"/>
          <w:b/>
          <w:sz w:val="22"/>
          <w:szCs w:val="22"/>
        </w:rPr>
        <w:t xml:space="preserve"> Art. </w:t>
      </w:r>
      <w:r w:rsidR="005B49DB">
        <w:rPr>
          <w:rFonts w:ascii="Tahoma" w:eastAsia="Tahoma" w:hAnsi="Tahoma" w:cs="Tahoma"/>
          <w:b/>
          <w:sz w:val="22"/>
          <w:szCs w:val="22"/>
        </w:rPr>
        <w:t xml:space="preserve">14 e o conjunto de mapas anexos </w:t>
      </w:r>
      <w:r w:rsidR="005B49DB">
        <w:rPr>
          <w:rFonts w:ascii="Tahoma" w:eastAsia="Tahoma" w:hAnsi="Tahoma" w:cs="Tahoma"/>
          <w:sz w:val="22"/>
          <w:szCs w:val="22"/>
        </w:rPr>
        <w:t>do</w:t>
      </w:r>
      <w:r w:rsidR="00D67619">
        <w:rPr>
          <w:rFonts w:ascii="Tahoma" w:eastAsia="Tahoma" w:hAnsi="Tahoma" w:cs="Tahoma"/>
          <w:sz w:val="22"/>
          <w:szCs w:val="22"/>
        </w:rPr>
        <w:t xml:space="preserve"> Projeto de Lei Nº 221/2023, L</w:t>
      </w:r>
      <w:r w:rsidR="006241EF" w:rsidRPr="00864CFC">
        <w:rPr>
          <w:rFonts w:ascii="Tahoma" w:eastAsia="Tahoma" w:hAnsi="Tahoma" w:cs="Tahoma"/>
          <w:sz w:val="22"/>
          <w:szCs w:val="22"/>
        </w:rPr>
        <w:t xml:space="preserve">ei </w:t>
      </w:r>
      <w:r w:rsidR="00D67619">
        <w:rPr>
          <w:rFonts w:ascii="Tahoma" w:eastAsia="Tahoma" w:hAnsi="Tahoma" w:cs="Tahoma"/>
          <w:sz w:val="22"/>
          <w:szCs w:val="22"/>
        </w:rPr>
        <w:t>U</w:t>
      </w:r>
      <w:r w:rsidR="006241EF" w:rsidRPr="00864CFC">
        <w:rPr>
          <w:rFonts w:ascii="Tahoma" w:eastAsia="Tahoma" w:hAnsi="Tahoma" w:cs="Tahoma"/>
          <w:sz w:val="22"/>
          <w:szCs w:val="22"/>
        </w:rPr>
        <w:t>rbanística de Niterói, seu zoneamento, a aplicação de instrumentos de política urbana e as regras gerais de licenciamento da atividade edilícia e de fiscalização da execução de obras</w:t>
      </w:r>
      <w:r w:rsidR="006241EF" w:rsidRPr="00864CFC">
        <w:rPr>
          <w:rFonts w:ascii="Tahoma" w:eastAsia="Tahoma" w:hAnsi="Tahoma" w:cs="Tahoma"/>
          <w:color w:val="000000"/>
          <w:sz w:val="22"/>
          <w:szCs w:val="22"/>
          <w:highlight w:val="white"/>
        </w:rPr>
        <w:t>.</w:t>
      </w:r>
    </w:p>
    <w:p w:rsidR="00EB25C6" w:rsidRPr="00864CFC" w:rsidRDefault="00EB25C6" w:rsidP="00864CFC">
      <w:pPr>
        <w:spacing w:line="360" w:lineRule="auto"/>
        <w:ind w:left="5103"/>
        <w:jc w:val="both"/>
        <w:rPr>
          <w:rFonts w:ascii="Tahoma" w:eastAsia="Tahoma" w:hAnsi="Tahoma" w:cs="Tahoma"/>
          <w:sz w:val="22"/>
          <w:szCs w:val="22"/>
          <w:highlight w:val="white"/>
        </w:rPr>
      </w:pPr>
    </w:p>
    <w:p w:rsidR="00EB25C6" w:rsidRDefault="006241EF" w:rsidP="00864CFC">
      <w:pPr>
        <w:spacing w:line="360" w:lineRule="auto"/>
        <w:jc w:val="both"/>
        <w:rPr>
          <w:rFonts w:ascii="Tahoma" w:eastAsia="Tahoma" w:hAnsi="Tahoma" w:cs="Tahoma"/>
          <w:sz w:val="22"/>
          <w:szCs w:val="22"/>
        </w:rPr>
      </w:pPr>
      <w:r w:rsidRPr="00864CFC">
        <w:rPr>
          <w:rFonts w:ascii="Tahoma" w:eastAsia="Tahoma" w:hAnsi="Tahoma" w:cs="Tahoma"/>
          <w:b/>
          <w:sz w:val="22"/>
          <w:szCs w:val="22"/>
        </w:rPr>
        <w:t xml:space="preserve">Art.1º - </w:t>
      </w:r>
      <w:r w:rsidR="00864CFC">
        <w:rPr>
          <w:rFonts w:ascii="Tahoma" w:eastAsia="Tahoma" w:hAnsi="Tahoma" w:cs="Tahoma"/>
          <w:b/>
          <w:sz w:val="22"/>
          <w:szCs w:val="22"/>
        </w:rPr>
        <w:t xml:space="preserve">Modifica </w:t>
      </w:r>
      <w:r w:rsidR="00864CFC" w:rsidRPr="00864CFC">
        <w:rPr>
          <w:rFonts w:ascii="Tahoma" w:eastAsia="Tahoma" w:hAnsi="Tahoma" w:cs="Tahoma"/>
          <w:b/>
          <w:sz w:val="22"/>
          <w:szCs w:val="22"/>
        </w:rPr>
        <w:t xml:space="preserve">o </w:t>
      </w:r>
      <w:r w:rsidR="00090A10">
        <w:rPr>
          <w:rFonts w:ascii="Tahoma" w:eastAsia="Tahoma" w:hAnsi="Tahoma" w:cs="Tahoma"/>
          <w:b/>
          <w:sz w:val="22"/>
          <w:szCs w:val="22"/>
        </w:rPr>
        <w:t xml:space="preserve">Art. </w:t>
      </w:r>
      <w:r w:rsidR="005B49DB">
        <w:rPr>
          <w:rFonts w:ascii="Tahoma" w:eastAsia="Tahoma" w:hAnsi="Tahoma" w:cs="Tahoma"/>
          <w:b/>
          <w:sz w:val="22"/>
          <w:szCs w:val="22"/>
        </w:rPr>
        <w:t>14</w:t>
      </w:r>
      <w:r w:rsidR="00D67619">
        <w:rPr>
          <w:rFonts w:ascii="Tahoma" w:eastAsia="Tahoma" w:hAnsi="Tahoma" w:cs="Tahoma"/>
          <w:sz w:val="22"/>
          <w:szCs w:val="22"/>
        </w:rPr>
        <w:t>do Projeto de Lei Nº 221/2023, Lei U</w:t>
      </w:r>
      <w:r w:rsidRPr="00864CFC">
        <w:rPr>
          <w:rFonts w:ascii="Tahoma" w:eastAsia="Tahoma" w:hAnsi="Tahoma" w:cs="Tahoma"/>
          <w:sz w:val="22"/>
          <w:szCs w:val="22"/>
        </w:rPr>
        <w:t>rbanística de Niterói, seu zoneamento, a aplicação de instrumentos de política urbana e as regras gerais de licenciamento da atividade edilícia e de fiscalização da execução de obras</w:t>
      </w:r>
      <w:r w:rsidR="00864CFC">
        <w:rPr>
          <w:rFonts w:ascii="Tahoma" w:eastAsia="Tahoma" w:hAnsi="Tahoma" w:cs="Tahoma"/>
          <w:sz w:val="22"/>
          <w:szCs w:val="22"/>
        </w:rPr>
        <w:t xml:space="preserve">, </w:t>
      </w:r>
      <w:r w:rsidR="00090A10">
        <w:rPr>
          <w:rFonts w:ascii="Tahoma" w:eastAsia="Tahoma" w:hAnsi="Tahoma" w:cs="Tahoma"/>
          <w:sz w:val="22"/>
          <w:szCs w:val="22"/>
        </w:rPr>
        <w:t>que passa a constar com a seguinte redação</w:t>
      </w:r>
      <w:r w:rsidR="00E40628">
        <w:rPr>
          <w:rFonts w:ascii="Tahoma" w:eastAsia="Tahoma" w:hAnsi="Tahoma" w:cs="Tahoma"/>
          <w:sz w:val="22"/>
          <w:szCs w:val="22"/>
        </w:rPr>
        <w:t>:</w:t>
      </w:r>
    </w:p>
    <w:p w:rsidR="00090A10" w:rsidRDefault="00090A10" w:rsidP="00864CFC">
      <w:pPr>
        <w:spacing w:line="360" w:lineRule="auto"/>
        <w:jc w:val="both"/>
        <w:rPr>
          <w:rFonts w:ascii="Tahoma" w:eastAsia="Tahoma" w:hAnsi="Tahoma" w:cs="Tahoma"/>
          <w:sz w:val="22"/>
          <w:szCs w:val="22"/>
        </w:rPr>
      </w:pPr>
    </w:p>
    <w:p w:rsidR="0065080C" w:rsidRDefault="00090A10" w:rsidP="005B49DB">
      <w:pPr>
        <w:spacing w:line="360" w:lineRule="auto"/>
        <w:ind w:left="1418"/>
        <w:jc w:val="both"/>
        <w:rPr>
          <w:rFonts w:ascii="Tahoma" w:eastAsia="Tahoma" w:hAnsi="Tahoma" w:cs="Tahoma"/>
          <w:sz w:val="22"/>
          <w:szCs w:val="22"/>
        </w:rPr>
      </w:pPr>
      <w:r>
        <w:rPr>
          <w:rFonts w:ascii="Tahoma" w:eastAsia="Tahoma" w:hAnsi="Tahoma" w:cs="Tahoma"/>
          <w:sz w:val="22"/>
          <w:szCs w:val="22"/>
        </w:rPr>
        <w:t xml:space="preserve">“Art. </w:t>
      </w:r>
      <w:r w:rsidR="005B49DB">
        <w:rPr>
          <w:rFonts w:ascii="Tahoma" w:eastAsia="Tahoma" w:hAnsi="Tahoma" w:cs="Tahoma"/>
          <w:sz w:val="22"/>
          <w:szCs w:val="22"/>
        </w:rPr>
        <w:t>14</w:t>
      </w:r>
      <w:r>
        <w:rPr>
          <w:rFonts w:ascii="Tahoma" w:eastAsia="Tahoma" w:hAnsi="Tahoma" w:cs="Tahoma"/>
          <w:sz w:val="22"/>
          <w:szCs w:val="22"/>
        </w:rPr>
        <w:t xml:space="preserve">. </w:t>
      </w:r>
      <w:r w:rsidR="005B49DB" w:rsidRPr="005B49DB">
        <w:rPr>
          <w:rFonts w:ascii="Tahoma" w:eastAsia="Tahoma" w:hAnsi="Tahoma" w:cs="Tahoma"/>
          <w:sz w:val="22"/>
          <w:szCs w:val="22"/>
        </w:rPr>
        <w:t>As Zonas de Uso correspondem a porções do território nas quais incidem</w:t>
      </w:r>
      <w:r w:rsidR="005B49DB" w:rsidRPr="005B49DB">
        <w:rPr>
          <w:rFonts w:ascii="Tahoma" w:eastAsia="Tahoma" w:hAnsi="Tahoma" w:cs="Tahoma"/>
          <w:sz w:val="22"/>
          <w:szCs w:val="22"/>
        </w:rPr>
        <w:br/>
        <w:t>parâmetros próprios de parcelamento, uso e ocupação do solo estabelecidos nos</w:t>
      </w:r>
      <w:r w:rsidR="005B49DB" w:rsidRPr="005B49DB">
        <w:rPr>
          <w:rFonts w:ascii="Tahoma" w:eastAsia="Tahoma" w:hAnsi="Tahoma" w:cs="Tahoma"/>
          <w:sz w:val="22"/>
          <w:szCs w:val="22"/>
        </w:rPr>
        <w:br/>
        <w:t>quadros anexos desta Lei.</w:t>
      </w:r>
    </w:p>
    <w:p w:rsidR="005B49DB" w:rsidRDefault="005B49DB" w:rsidP="005B49DB">
      <w:pPr>
        <w:spacing w:line="360" w:lineRule="auto"/>
        <w:ind w:left="1418"/>
        <w:jc w:val="both"/>
        <w:rPr>
          <w:rFonts w:ascii="Tahoma" w:eastAsia="Tahoma" w:hAnsi="Tahoma" w:cs="Tahoma"/>
          <w:sz w:val="22"/>
          <w:szCs w:val="22"/>
        </w:rPr>
      </w:pPr>
      <w:r>
        <w:rPr>
          <w:rFonts w:ascii="Tahoma" w:eastAsia="Tahoma" w:hAnsi="Tahoma" w:cs="Tahoma"/>
          <w:sz w:val="22"/>
          <w:szCs w:val="22"/>
        </w:rPr>
        <w:t xml:space="preserve">(...) </w:t>
      </w:r>
    </w:p>
    <w:p w:rsidR="00090A10" w:rsidRDefault="00090A10" w:rsidP="005B49DB">
      <w:pPr>
        <w:spacing w:line="360" w:lineRule="auto"/>
        <w:ind w:left="1418"/>
        <w:jc w:val="both"/>
        <w:rPr>
          <w:rFonts w:ascii="Tahoma" w:eastAsia="Tahoma" w:hAnsi="Tahoma" w:cs="Tahoma"/>
          <w:sz w:val="22"/>
          <w:szCs w:val="22"/>
        </w:rPr>
      </w:pPr>
      <w:r>
        <w:rPr>
          <w:rFonts w:ascii="Tahoma" w:eastAsia="Tahoma" w:hAnsi="Tahoma" w:cs="Tahoma"/>
          <w:sz w:val="22"/>
          <w:szCs w:val="22"/>
        </w:rPr>
        <w:t xml:space="preserve">Parágrafo único. </w:t>
      </w:r>
      <w:r w:rsidR="005B49DB">
        <w:rPr>
          <w:rFonts w:ascii="Tahoma" w:eastAsia="Tahoma" w:hAnsi="Tahoma" w:cs="Tahoma"/>
          <w:sz w:val="22"/>
          <w:szCs w:val="22"/>
        </w:rPr>
        <w:t xml:space="preserve">Cumpre dar ciência aos gestores, planejadores urbanos e demais profissionais do setor imobiliário e construção civil, bem como à população em geral </w:t>
      </w:r>
      <w:r w:rsidR="00133DDC">
        <w:rPr>
          <w:rFonts w:ascii="Tahoma" w:eastAsia="Tahoma" w:hAnsi="Tahoma" w:cs="Tahoma"/>
          <w:sz w:val="22"/>
          <w:szCs w:val="22"/>
        </w:rPr>
        <w:t>d</w:t>
      </w:r>
      <w:r w:rsidR="005B49DB">
        <w:rPr>
          <w:rFonts w:ascii="Tahoma" w:eastAsia="Tahoma" w:hAnsi="Tahoma" w:cs="Tahoma"/>
          <w:sz w:val="22"/>
          <w:szCs w:val="22"/>
        </w:rPr>
        <w:t xml:space="preserve">a projeção obtida até o momento da aprovação desta </w:t>
      </w:r>
      <w:r w:rsidR="00133DDC">
        <w:rPr>
          <w:rFonts w:ascii="Tahoma" w:eastAsia="Tahoma" w:hAnsi="Tahoma" w:cs="Tahoma"/>
          <w:sz w:val="22"/>
          <w:szCs w:val="22"/>
        </w:rPr>
        <w:t>l</w:t>
      </w:r>
      <w:r w:rsidR="005B49DB">
        <w:rPr>
          <w:rFonts w:ascii="Tahoma" w:eastAsia="Tahoma" w:hAnsi="Tahoma" w:cs="Tahoma"/>
          <w:sz w:val="22"/>
          <w:szCs w:val="22"/>
        </w:rPr>
        <w:t>ei d</w:t>
      </w:r>
      <w:r w:rsidR="00133DDC">
        <w:rPr>
          <w:rFonts w:ascii="Tahoma" w:eastAsia="Tahoma" w:hAnsi="Tahoma" w:cs="Tahoma"/>
          <w:sz w:val="22"/>
          <w:szCs w:val="22"/>
        </w:rPr>
        <w:t>o</w:t>
      </w:r>
      <w:r w:rsidR="005B49DB">
        <w:rPr>
          <w:rFonts w:ascii="Tahoma" w:eastAsia="Tahoma" w:hAnsi="Tahoma" w:cs="Tahoma"/>
          <w:sz w:val="22"/>
          <w:szCs w:val="22"/>
        </w:rPr>
        <w:t xml:space="preserve"> impacto </w:t>
      </w:r>
      <w:r w:rsidR="00133DDC">
        <w:rPr>
          <w:rFonts w:ascii="Tahoma" w:eastAsia="Tahoma" w:hAnsi="Tahoma" w:cs="Tahoma"/>
          <w:sz w:val="22"/>
          <w:szCs w:val="22"/>
        </w:rPr>
        <w:t>do</w:t>
      </w:r>
      <w:r w:rsidR="005B49DB">
        <w:rPr>
          <w:rFonts w:ascii="Tahoma" w:eastAsia="Tahoma" w:hAnsi="Tahoma" w:cs="Tahoma"/>
          <w:sz w:val="22"/>
          <w:szCs w:val="22"/>
        </w:rPr>
        <w:t xml:space="preserve"> aumento do nível das águas</w:t>
      </w:r>
      <w:r w:rsidR="00133DDC">
        <w:rPr>
          <w:rFonts w:ascii="Tahoma" w:eastAsia="Tahoma" w:hAnsi="Tahoma" w:cs="Tahoma"/>
          <w:sz w:val="22"/>
          <w:szCs w:val="22"/>
        </w:rPr>
        <w:t>,</w:t>
      </w:r>
      <w:r w:rsidR="005B49DB">
        <w:rPr>
          <w:rFonts w:ascii="Tahoma" w:eastAsia="Tahoma" w:hAnsi="Tahoma" w:cs="Tahoma"/>
          <w:sz w:val="22"/>
          <w:szCs w:val="22"/>
        </w:rPr>
        <w:t xml:space="preserve"> em virtude d</w:t>
      </w:r>
      <w:r w:rsidR="00133DDC">
        <w:rPr>
          <w:rFonts w:ascii="Tahoma" w:eastAsia="Tahoma" w:hAnsi="Tahoma" w:cs="Tahoma"/>
          <w:sz w:val="22"/>
          <w:szCs w:val="22"/>
        </w:rPr>
        <w:t>as mudanças climáticas em curso</w:t>
      </w:r>
      <w:r w:rsidR="0065080C">
        <w:rPr>
          <w:rFonts w:ascii="Tahoma" w:eastAsia="Tahoma" w:hAnsi="Tahoma" w:cs="Tahoma"/>
          <w:sz w:val="22"/>
          <w:szCs w:val="22"/>
        </w:rPr>
        <w:t>”</w:t>
      </w:r>
      <w:r w:rsidR="00166FE2">
        <w:rPr>
          <w:rFonts w:ascii="Tahoma" w:eastAsia="Tahoma" w:hAnsi="Tahoma" w:cs="Tahoma"/>
          <w:sz w:val="22"/>
          <w:szCs w:val="22"/>
        </w:rPr>
        <w:t>.</w:t>
      </w:r>
    </w:p>
    <w:p w:rsidR="0065080C" w:rsidRDefault="0065080C" w:rsidP="00864CFC">
      <w:pPr>
        <w:spacing w:line="360" w:lineRule="auto"/>
        <w:jc w:val="both"/>
        <w:rPr>
          <w:rFonts w:ascii="Tahoma" w:eastAsia="Tahoma" w:hAnsi="Tahoma" w:cs="Tahoma"/>
          <w:sz w:val="22"/>
          <w:szCs w:val="22"/>
        </w:rPr>
      </w:pPr>
    </w:p>
    <w:p w:rsidR="0065080C" w:rsidRDefault="0065080C" w:rsidP="0065080C">
      <w:pPr>
        <w:spacing w:line="360" w:lineRule="auto"/>
        <w:jc w:val="both"/>
        <w:rPr>
          <w:rFonts w:ascii="Tahoma" w:eastAsia="Tahoma" w:hAnsi="Tahoma" w:cs="Tahoma"/>
          <w:sz w:val="22"/>
          <w:szCs w:val="22"/>
        </w:rPr>
      </w:pPr>
      <w:r>
        <w:rPr>
          <w:rFonts w:ascii="Tahoma" w:eastAsia="Tahoma" w:hAnsi="Tahoma" w:cs="Tahoma"/>
          <w:b/>
          <w:sz w:val="22"/>
          <w:szCs w:val="22"/>
        </w:rPr>
        <w:t>Art.2</w:t>
      </w:r>
      <w:r w:rsidRPr="00864CFC">
        <w:rPr>
          <w:rFonts w:ascii="Tahoma" w:eastAsia="Tahoma" w:hAnsi="Tahoma" w:cs="Tahoma"/>
          <w:b/>
          <w:sz w:val="22"/>
          <w:szCs w:val="22"/>
        </w:rPr>
        <w:t xml:space="preserve">º - </w:t>
      </w:r>
      <w:r>
        <w:rPr>
          <w:rFonts w:ascii="Tahoma" w:eastAsia="Tahoma" w:hAnsi="Tahoma" w:cs="Tahoma"/>
          <w:b/>
          <w:sz w:val="22"/>
          <w:szCs w:val="22"/>
        </w:rPr>
        <w:t xml:space="preserve">Modifica </w:t>
      </w:r>
      <w:r w:rsidR="00133DDC">
        <w:rPr>
          <w:rFonts w:ascii="Tahoma" w:eastAsia="Tahoma" w:hAnsi="Tahoma" w:cs="Tahoma"/>
          <w:b/>
          <w:sz w:val="22"/>
          <w:szCs w:val="22"/>
        </w:rPr>
        <w:t>o conjunto de mapas anexos</w:t>
      </w:r>
      <w:r>
        <w:rPr>
          <w:rFonts w:ascii="Tahoma" w:eastAsia="Tahoma" w:hAnsi="Tahoma" w:cs="Tahoma"/>
          <w:sz w:val="22"/>
          <w:szCs w:val="22"/>
        </w:rPr>
        <w:t>do Projeto de Lei Nº 221/2023, Lei U</w:t>
      </w:r>
      <w:r w:rsidRPr="00864CFC">
        <w:rPr>
          <w:rFonts w:ascii="Tahoma" w:eastAsia="Tahoma" w:hAnsi="Tahoma" w:cs="Tahoma"/>
          <w:sz w:val="22"/>
          <w:szCs w:val="22"/>
        </w:rPr>
        <w:t>rbanística de Niterói, seu zoneamento, a aplicação de instrumentos de política urbana e as regras gerais de licenciamento da atividade edilícia e de fiscalização da execução de obras</w:t>
      </w:r>
      <w:r>
        <w:rPr>
          <w:rFonts w:ascii="Tahoma" w:eastAsia="Tahoma" w:hAnsi="Tahoma" w:cs="Tahoma"/>
          <w:sz w:val="22"/>
          <w:szCs w:val="22"/>
        </w:rPr>
        <w:t xml:space="preserve">, que passa a constar </w:t>
      </w:r>
      <w:r w:rsidR="00133DDC">
        <w:rPr>
          <w:rFonts w:ascii="Tahoma" w:eastAsia="Tahoma" w:hAnsi="Tahoma" w:cs="Tahoma"/>
          <w:sz w:val="22"/>
          <w:szCs w:val="22"/>
        </w:rPr>
        <w:t>com o mapa apresentado pela Secretaria Municipal do Clima demonstrando as áreas a serem impactadas e a perspectiva de impacto do aumento do nível das</w:t>
      </w:r>
      <w:r w:rsidR="006464C7">
        <w:rPr>
          <w:rFonts w:ascii="Tahoma" w:eastAsia="Tahoma" w:hAnsi="Tahoma" w:cs="Tahoma"/>
          <w:sz w:val="22"/>
          <w:szCs w:val="22"/>
        </w:rPr>
        <w:t xml:space="preserve"> águas em virtude das mudanças climáticas em curso.</w:t>
      </w:r>
    </w:p>
    <w:p w:rsidR="006464C7" w:rsidRDefault="006464C7" w:rsidP="0065080C">
      <w:pPr>
        <w:spacing w:line="360" w:lineRule="auto"/>
        <w:jc w:val="both"/>
        <w:rPr>
          <w:rFonts w:ascii="Tahoma" w:eastAsia="Tahoma" w:hAnsi="Tahoma" w:cs="Tahoma"/>
          <w:sz w:val="22"/>
          <w:szCs w:val="22"/>
        </w:rPr>
      </w:pPr>
    </w:p>
    <w:p w:rsidR="00C26000" w:rsidRDefault="00C26000" w:rsidP="0065080C">
      <w:pPr>
        <w:spacing w:line="360" w:lineRule="auto"/>
        <w:jc w:val="both"/>
        <w:rPr>
          <w:rFonts w:ascii="Tahoma" w:eastAsia="Tahoma" w:hAnsi="Tahoma" w:cs="Tahoma"/>
          <w:sz w:val="22"/>
          <w:szCs w:val="22"/>
        </w:rPr>
      </w:pPr>
      <w:r>
        <w:rPr>
          <w:rFonts w:ascii="Tahoma" w:eastAsia="Tahoma" w:hAnsi="Tahoma" w:cs="Tahoma"/>
          <w:noProof/>
          <w:sz w:val="22"/>
          <w:szCs w:val="22"/>
          <w:lang w:eastAsia="pt-BR"/>
        </w:rPr>
        <w:lastRenderedPageBreak/>
        <w:drawing>
          <wp:inline distT="0" distB="0" distL="0" distR="0">
            <wp:extent cx="6473190" cy="3641090"/>
            <wp:effectExtent l="0" t="0" r="381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PRESENTAÇÃO_SECRETARIA_CLIMA 02.jpg"/>
                    <pic:cNvPicPr/>
                  </pic:nvPicPr>
                  <pic:blipFill>
                    <a:blip r:embed="rId9">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0">
                              <a14:imgEffect>
                                <a14:sharpenSoften amount="3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473190" cy="3641090"/>
                    </a:xfrm>
                    <a:prstGeom prst="rect">
                      <a:avLst/>
                    </a:prstGeom>
                  </pic:spPr>
                </pic:pic>
              </a:graphicData>
            </a:graphic>
          </wp:inline>
        </w:drawing>
      </w:r>
      <w:bookmarkStart w:id="0" w:name="_GoBack"/>
      <w:bookmarkEnd w:id="0"/>
      <w:r>
        <w:rPr>
          <w:rFonts w:ascii="Tahoma" w:eastAsia="Tahoma" w:hAnsi="Tahoma" w:cs="Tahoma"/>
          <w:noProof/>
          <w:sz w:val="22"/>
          <w:szCs w:val="22"/>
          <w:lang w:eastAsia="pt-BR"/>
        </w:rPr>
        <w:drawing>
          <wp:inline distT="0" distB="0" distL="0" distR="0">
            <wp:extent cx="6473190" cy="3641090"/>
            <wp:effectExtent l="0" t="0" r="381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PRESENTAÇÃO_SECRETARIA_CLIMA.jpg"/>
                    <pic:cNvPicPr/>
                  </pic:nvPicPr>
                  <pic:blipFill>
                    <a:blip r:embed="rId11">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2">
                              <a14:imgEffect>
                                <a14:sharpenSoften amount="3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473190" cy="3641090"/>
                    </a:xfrm>
                    <a:prstGeom prst="rect">
                      <a:avLst/>
                    </a:prstGeom>
                  </pic:spPr>
                </pic:pic>
              </a:graphicData>
            </a:graphic>
          </wp:inline>
        </w:drawing>
      </w:r>
    </w:p>
    <w:p w:rsidR="00C26000" w:rsidRDefault="00C26000" w:rsidP="0065080C">
      <w:pPr>
        <w:spacing w:line="360" w:lineRule="auto"/>
        <w:jc w:val="both"/>
        <w:rPr>
          <w:rFonts w:ascii="Tahoma" w:eastAsia="Tahoma" w:hAnsi="Tahoma" w:cs="Tahoma"/>
          <w:sz w:val="22"/>
          <w:szCs w:val="22"/>
        </w:rPr>
      </w:pPr>
    </w:p>
    <w:p w:rsidR="00C26000" w:rsidRDefault="00C26000" w:rsidP="00C26000">
      <w:pPr>
        <w:spacing w:line="360" w:lineRule="auto"/>
        <w:jc w:val="center"/>
        <w:rPr>
          <w:rFonts w:ascii="Tahoma" w:eastAsia="Tahoma" w:hAnsi="Tahoma" w:cs="Tahoma"/>
          <w:sz w:val="22"/>
          <w:szCs w:val="22"/>
        </w:rPr>
      </w:pPr>
      <w:r>
        <w:rPr>
          <w:rFonts w:ascii="Tahoma" w:eastAsia="Tahoma" w:hAnsi="Tahoma" w:cs="Tahoma"/>
          <w:noProof/>
          <w:sz w:val="22"/>
          <w:szCs w:val="22"/>
          <w:lang w:eastAsia="pt-BR"/>
        </w:rPr>
        <w:lastRenderedPageBreak/>
        <w:drawing>
          <wp:inline distT="0" distB="0" distL="0" distR="0">
            <wp:extent cx="6473190" cy="5074285"/>
            <wp:effectExtent l="0" t="0" r="381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em título 01.png"/>
                    <pic:cNvPicPr/>
                  </pic:nvPicPr>
                  <pic:blipFill>
                    <a:blip r:embed="rId13">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4">
                              <a14:imgEffect>
                                <a14:sharpenSoften amount="3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473190" cy="5074285"/>
                    </a:xfrm>
                    <a:prstGeom prst="rect">
                      <a:avLst/>
                    </a:prstGeom>
                  </pic:spPr>
                </pic:pic>
              </a:graphicData>
            </a:graphic>
          </wp:inline>
        </w:drawing>
      </w:r>
      <w:r>
        <w:rPr>
          <w:rFonts w:ascii="Tahoma" w:eastAsia="Tahoma" w:hAnsi="Tahoma" w:cs="Tahoma"/>
          <w:noProof/>
          <w:sz w:val="22"/>
          <w:szCs w:val="22"/>
          <w:lang w:eastAsia="pt-BR"/>
        </w:rPr>
        <w:lastRenderedPageBreak/>
        <w:drawing>
          <wp:inline distT="0" distB="0" distL="0" distR="0">
            <wp:extent cx="6473190" cy="5210810"/>
            <wp:effectExtent l="0" t="0" r="3810" b="889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em título 02.png"/>
                    <pic:cNvPicPr/>
                  </pic:nvPicPr>
                  <pic:blipFill>
                    <a:blip r:embed="rId15">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6">
                              <a14:imgEffect>
                                <a14:sharpenSoften amount="3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473190" cy="5210810"/>
                    </a:xfrm>
                    <a:prstGeom prst="rect">
                      <a:avLst/>
                    </a:prstGeom>
                  </pic:spPr>
                </pic:pic>
              </a:graphicData>
            </a:graphic>
          </wp:inline>
        </w:drawing>
      </w:r>
    </w:p>
    <w:p w:rsidR="009B2868" w:rsidRDefault="009B2868" w:rsidP="009B2868">
      <w:pPr>
        <w:spacing w:line="360" w:lineRule="auto"/>
        <w:jc w:val="center"/>
        <w:rPr>
          <w:rFonts w:ascii="Tahoma" w:eastAsia="Tahoma" w:hAnsi="Tahoma" w:cs="Tahoma"/>
          <w:sz w:val="22"/>
          <w:szCs w:val="22"/>
        </w:rPr>
      </w:pPr>
    </w:p>
    <w:p w:rsidR="00864CFC" w:rsidRDefault="00D43A2F" w:rsidP="009B2868">
      <w:pPr>
        <w:spacing w:line="360" w:lineRule="auto"/>
        <w:jc w:val="right"/>
        <w:rPr>
          <w:sz w:val="22"/>
          <w:szCs w:val="22"/>
        </w:rPr>
      </w:pPr>
      <w:r>
        <w:rPr>
          <w:rFonts w:ascii="Tahoma" w:eastAsia="Tahoma" w:hAnsi="Tahoma" w:cs="Tahoma"/>
          <w:sz w:val="22"/>
          <w:szCs w:val="22"/>
        </w:rPr>
        <w:t>Sala das Sessões, 22</w:t>
      </w:r>
      <w:r w:rsidR="006241EF" w:rsidRPr="00864CFC">
        <w:rPr>
          <w:rFonts w:ascii="Tahoma" w:eastAsia="Tahoma" w:hAnsi="Tahoma" w:cs="Tahoma"/>
          <w:sz w:val="22"/>
          <w:szCs w:val="22"/>
        </w:rPr>
        <w:t xml:space="preserve"> de fevereiro de 2024.</w:t>
      </w:r>
    </w:p>
    <w:p w:rsidR="00864CFC" w:rsidRDefault="00864CFC" w:rsidP="00864CFC">
      <w:pPr>
        <w:spacing w:line="360" w:lineRule="auto"/>
        <w:jc w:val="both"/>
        <w:rPr>
          <w:sz w:val="22"/>
          <w:szCs w:val="22"/>
        </w:rPr>
      </w:pPr>
    </w:p>
    <w:p w:rsidR="00D43A2F" w:rsidRDefault="00D43A2F" w:rsidP="00864CFC">
      <w:pPr>
        <w:spacing w:line="360" w:lineRule="auto"/>
        <w:jc w:val="both"/>
        <w:rPr>
          <w:sz w:val="22"/>
          <w:szCs w:val="22"/>
        </w:rPr>
      </w:pPr>
    </w:p>
    <w:p w:rsidR="00D43A2F" w:rsidRDefault="00D43A2F" w:rsidP="00864CFC">
      <w:pPr>
        <w:spacing w:line="360" w:lineRule="auto"/>
        <w:jc w:val="both"/>
        <w:rPr>
          <w:sz w:val="22"/>
          <w:szCs w:val="22"/>
        </w:rPr>
      </w:pPr>
    </w:p>
    <w:p w:rsidR="00D43A2F" w:rsidRDefault="00D43A2F" w:rsidP="00864CFC">
      <w:pPr>
        <w:spacing w:line="360" w:lineRule="auto"/>
        <w:jc w:val="both"/>
        <w:rPr>
          <w:sz w:val="22"/>
          <w:szCs w:val="22"/>
        </w:rPr>
      </w:pPr>
    </w:p>
    <w:p w:rsidR="00D43A2F" w:rsidRPr="00864CFC" w:rsidRDefault="00D43A2F" w:rsidP="00864CFC">
      <w:pPr>
        <w:spacing w:line="360" w:lineRule="auto"/>
        <w:jc w:val="both"/>
        <w:rPr>
          <w:sz w:val="22"/>
          <w:szCs w:val="22"/>
        </w:rPr>
      </w:pPr>
    </w:p>
    <w:p w:rsidR="00EB25C6" w:rsidRPr="00864CFC" w:rsidRDefault="00864CFC" w:rsidP="00864CFC">
      <w:pPr>
        <w:spacing w:line="360" w:lineRule="auto"/>
        <w:jc w:val="center"/>
        <w:rPr>
          <w:sz w:val="22"/>
          <w:szCs w:val="22"/>
        </w:rPr>
      </w:pPr>
      <w:r>
        <w:rPr>
          <w:sz w:val="22"/>
          <w:szCs w:val="22"/>
        </w:rPr>
        <w:t>__________________________________________________</w:t>
      </w:r>
    </w:p>
    <w:p w:rsidR="00EB25C6" w:rsidRPr="00864CFC" w:rsidRDefault="006241EF" w:rsidP="00864CFC">
      <w:pPr>
        <w:shd w:val="clear" w:color="auto" w:fill="FFFFFF"/>
        <w:spacing w:line="360" w:lineRule="auto"/>
        <w:jc w:val="center"/>
        <w:rPr>
          <w:rFonts w:ascii="Tahoma" w:eastAsia="Tahoma" w:hAnsi="Tahoma" w:cs="Tahoma"/>
          <w:b/>
          <w:sz w:val="22"/>
          <w:szCs w:val="22"/>
        </w:rPr>
      </w:pPr>
      <w:r w:rsidRPr="00864CFC">
        <w:rPr>
          <w:rFonts w:ascii="Tahoma" w:eastAsia="Tahoma" w:hAnsi="Tahoma" w:cs="Tahoma"/>
          <w:b/>
          <w:sz w:val="22"/>
          <w:szCs w:val="22"/>
        </w:rPr>
        <w:t>Daniel Marques</w:t>
      </w:r>
    </w:p>
    <w:p w:rsidR="00FA36A0" w:rsidRDefault="006241EF" w:rsidP="00A1394F">
      <w:pPr>
        <w:shd w:val="clear" w:color="auto" w:fill="FFFFFF"/>
        <w:spacing w:line="360" w:lineRule="auto"/>
        <w:jc w:val="center"/>
        <w:rPr>
          <w:rFonts w:ascii="Tahoma" w:eastAsia="Tahoma" w:hAnsi="Tahoma" w:cs="Tahoma"/>
          <w:b/>
          <w:sz w:val="22"/>
          <w:szCs w:val="22"/>
        </w:rPr>
      </w:pPr>
      <w:r w:rsidRPr="00864CFC">
        <w:rPr>
          <w:rFonts w:ascii="Tahoma" w:eastAsia="Tahoma" w:hAnsi="Tahoma" w:cs="Tahoma"/>
          <w:b/>
          <w:sz w:val="22"/>
          <w:szCs w:val="22"/>
        </w:rPr>
        <w:t>Vereador</w:t>
      </w:r>
    </w:p>
    <w:p w:rsidR="006B25E8" w:rsidRDefault="006B25E8" w:rsidP="00A1394F">
      <w:pPr>
        <w:shd w:val="clear" w:color="auto" w:fill="FFFFFF"/>
        <w:spacing w:line="360" w:lineRule="auto"/>
        <w:jc w:val="center"/>
        <w:rPr>
          <w:rFonts w:ascii="Tahoma" w:eastAsia="Tahoma" w:hAnsi="Tahoma" w:cs="Tahoma"/>
          <w:b/>
          <w:sz w:val="22"/>
          <w:szCs w:val="22"/>
        </w:rPr>
      </w:pPr>
    </w:p>
    <w:p w:rsidR="006B25E8" w:rsidRDefault="006B25E8" w:rsidP="00A1394F">
      <w:pPr>
        <w:shd w:val="clear" w:color="auto" w:fill="FFFFFF"/>
        <w:spacing w:line="360" w:lineRule="auto"/>
        <w:jc w:val="center"/>
        <w:rPr>
          <w:rFonts w:ascii="Tahoma" w:eastAsia="Tahoma" w:hAnsi="Tahoma" w:cs="Tahoma"/>
          <w:b/>
          <w:sz w:val="22"/>
          <w:szCs w:val="22"/>
        </w:rPr>
      </w:pPr>
    </w:p>
    <w:p w:rsidR="006B25E8" w:rsidRPr="00864CFC" w:rsidRDefault="006B25E8" w:rsidP="00A1394F">
      <w:pPr>
        <w:shd w:val="clear" w:color="auto" w:fill="FFFFFF"/>
        <w:spacing w:line="360" w:lineRule="auto"/>
        <w:jc w:val="center"/>
        <w:rPr>
          <w:rFonts w:ascii="Tahoma" w:eastAsia="Tahoma" w:hAnsi="Tahoma" w:cs="Tahoma"/>
          <w:b/>
          <w:sz w:val="22"/>
          <w:szCs w:val="22"/>
        </w:rPr>
      </w:pPr>
    </w:p>
    <w:p w:rsidR="00225EE1" w:rsidRDefault="006241EF" w:rsidP="00143A90">
      <w:pPr>
        <w:spacing w:line="360" w:lineRule="auto"/>
        <w:jc w:val="both"/>
        <w:rPr>
          <w:rFonts w:ascii="Tahoma" w:eastAsia="Tahoma" w:hAnsi="Tahoma" w:cs="Tahoma"/>
          <w:sz w:val="22"/>
          <w:szCs w:val="22"/>
        </w:rPr>
      </w:pPr>
      <w:r w:rsidRPr="00864CFC">
        <w:rPr>
          <w:rFonts w:ascii="Tahoma" w:eastAsia="Tahoma" w:hAnsi="Tahoma" w:cs="Tahoma"/>
          <w:b/>
          <w:sz w:val="22"/>
          <w:szCs w:val="22"/>
        </w:rPr>
        <w:t>JUSTIFICATIVA:</w:t>
      </w:r>
    </w:p>
    <w:p w:rsidR="007539CA" w:rsidRDefault="007539CA" w:rsidP="00143A90">
      <w:pPr>
        <w:spacing w:line="360" w:lineRule="auto"/>
        <w:jc w:val="both"/>
        <w:rPr>
          <w:rFonts w:ascii="Tahoma" w:eastAsia="Tahoma" w:hAnsi="Tahoma" w:cs="Tahoma"/>
          <w:sz w:val="22"/>
          <w:szCs w:val="22"/>
        </w:rPr>
      </w:pPr>
      <w:r>
        <w:rPr>
          <w:rFonts w:ascii="Tahoma" w:eastAsia="Tahoma" w:hAnsi="Tahoma" w:cs="Tahoma"/>
          <w:sz w:val="22"/>
          <w:szCs w:val="22"/>
        </w:rPr>
        <w:t xml:space="preserve">As imagens acima foram retiradas do estudo realizado pela Universidade Federal Fluminense e apresentado pela Secretaria Municipal em uma das assembleias do Fórum do Clima e pode ser lido na íntegra em: </w:t>
      </w:r>
      <w:hyperlink r:id="rId17" w:history="1">
        <w:r w:rsidRPr="00DC3935">
          <w:rPr>
            <w:rStyle w:val="Hyperlink"/>
            <w:rFonts w:ascii="Tahoma" w:eastAsia="Tahoma" w:hAnsi="Tahoma" w:cs="Tahoma"/>
            <w:sz w:val="22"/>
            <w:szCs w:val="22"/>
          </w:rPr>
          <w:t>https://www.mdpi.com/2673-964X/3/3/13</w:t>
        </w:r>
      </w:hyperlink>
    </w:p>
    <w:p w:rsidR="007539CA" w:rsidRDefault="007539CA" w:rsidP="00143A90">
      <w:pPr>
        <w:spacing w:line="360" w:lineRule="auto"/>
        <w:jc w:val="both"/>
        <w:rPr>
          <w:rFonts w:ascii="Tahoma" w:eastAsia="Tahoma" w:hAnsi="Tahoma" w:cs="Tahoma"/>
          <w:sz w:val="18"/>
          <w:szCs w:val="18"/>
        </w:rPr>
      </w:pPr>
    </w:p>
    <w:p w:rsidR="005A4F4F" w:rsidRDefault="005A4F4F" w:rsidP="005A4F4F">
      <w:pPr>
        <w:spacing w:line="360" w:lineRule="auto"/>
        <w:jc w:val="both"/>
        <w:rPr>
          <w:rFonts w:ascii="Tahoma" w:eastAsia="Tahoma" w:hAnsi="Tahoma" w:cs="Tahoma"/>
          <w:sz w:val="22"/>
          <w:szCs w:val="22"/>
        </w:rPr>
      </w:pPr>
      <w:r w:rsidRPr="005A4F4F">
        <w:rPr>
          <w:rFonts w:ascii="Tahoma" w:eastAsia="Tahoma" w:hAnsi="Tahoma" w:cs="Tahoma"/>
          <w:sz w:val="22"/>
          <w:szCs w:val="22"/>
        </w:rPr>
        <w:t>À medida que as mudanças climáticas aceleram, as cidades enfrentam desafios cada vez mais urgentes, especialmente aquelas localizadas em áreas propensas ao aumento do nível do mar. Este texto explora os perigos associados ao adensamento e verticalização urbana nessas regiões, destacando as vulnerabilidades exacerbadas pelos impactos das mudanças climáticas.</w:t>
      </w:r>
    </w:p>
    <w:p w:rsidR="005A4F4F" w:rsidRPr="005A4F4F" w:rsidRDefault="005A4F4F" w:rsidP="005A4F4F">
      <w:pPr>
        <w:spacing w:line="360" w:lineRule="auto"/>
        <w:jc w:val="both"/>
        <w:rPr>
          <w:rFonts w:ascii="Tahoma" w:eastAsia="Tahoma" w:hAnsi="Tahoma" w:cs="Tahoma"/>
          <w:sz w:val="22"/>
          <w:szCs w:val="22"/>
        </w:rPr>
      </w:pPr>
    </w:p>
    <w:p w:rsidR="005A4F4F" w:rsidRPr="005A4F4F" w:rsidRDefault="005A4F4F" w:rsidP="005A4F4F">
      <w:pPr>
        <w:numPr>
          <w:ilvl w:val="0"/>
          <w:numId w:val="9"/>
        </w:numPr>
        <w:spacing w:line="360" w:lineRule="auto"/>
        <w:jc w:val="both"/>
        <w:rPr>
          <w:rFonts w:ascii="Tahoma" w:eastAsia="Tahoma" w:hAnsi="Tahoma" w:cs="Tahoma"/>
          <w:sz w:val="22"/>
          <w:szCs w:val="22"/>
        </w:rPr>
      </w:pPr>
      <w:r w:rsidRPr="005A4F4F">
        <w:rPr>
          <w:rFonts w:ascii="Tahoma" w:eastAsia="Tahoma" w:hAnsi="Tahoma" w:cs="Tahoma"/>
          <w:b/>
          <w:bCs/>
          <w:sz w:val="22"/>
          <w:szCs w:val="22"/>
        </w:rPr>
        <w:t>Inundações Urbanas e Verticalização:</w:t>
      </w:r>
      <w:r w:rsidRPr="005A4F4F">
        <w:rPr>
          <w:rFonts w:ascii="Tahoma" w:eastAsia="Tahoma" w:hAnsi="Tahoma" w:cs="Tahoma"/>
          <w:sz w:val="22"/>
          <w:szCs w:val="22"/>
        </w:rPr>
        <w:t xml:space="preserve"> A verticalização exacerbada em áreas urbanas aumenta a impermeabilização do solo, diminuindo a capacidade natural de absorção de água. Isso intensifica o risco de inundações urbanas, já agravado pelo aumento do nível do mar, que torna as cidades mais suscetíveis a eventos climáticos extremos.</w:t>
      </w:r>
    </w:p>
    <w:p w:rsidR="005A4F4F" w:rsidRPr="005A4F4F" w:rsidRDefault="005A4F4F" w:rsidP="005A4F4F">
      <w:pPr>
        <w:numPr>
          <w:ilvl w:val="0"/>
          <w:numId w:val="9"/>
        </w:numPr>
        <w:spacing w:line="360" w:lineRule="auto"/>
        <w:jc w:val="both"/>
        <w:rPr>
          <w:rFonts w:ascii="Tahoma" w:eastAsia="Tahoma" w:hAnsi="Tahoma" w:cs="Tahoma"/>
          <w:sz w:val="22"/>
          <w:szCs w:val="22"/>
        </w:rPr>
      </w:pPr>
      <w:r w:rsidRPr="005A4F4F">
        <w:rPr>
          <w:rFonts w:ascii="Tahoma" w:eastAsia="Tahoma" w:hAnsi="Tahoma" w:cs="Tahoma"/>
          <w:b/>
          <w:bCs/>
          <w:sz w:val="22"/>
          <w:szCs w:val="22"/>
        </w:rPr>
        <w:t>Subsolo Urbano e Elevação do Nível do Mar:</w:t>
      </w:r>
      <w:r w:rsidRPr="005A4F4F">
        <w:rPr>
          <w:rFonts w:ascii="Tahoma" w:eastAsia="Tahoma" w:hAnsi="Tahoma" w:cs="Tahoma"/>
          <w:sz w:val="22"/>
          <w:szCs w:val="22"/>
        </w:rPr>
        <w:t xml:space="preserve"> A verticalização não se limita apenas às estruturas acima do solo. A expansão subterrânea das cidades, como estacionamentos e metrôs, pode comprometer a estabilidade do solo em áreas costeiras, tornando-as mais suscetíveis à intrusão salina e à erosão.</w:t>
      </w:r>
    </w:p>
    <w:p w:rsidR="005A4F4F" w:rsidRPr="005A4F4F" w:rsidRDefault="005A4F4F" w:rsidP="005A4F4F">
      <w:pPr>
        <w:numPr>
          <w:ilvl w:val="0"/>
          <w:numId w:val="9"/>
        </w:numPr>
        <w:spacing w:line="360" w:lineRule="auto"/>
        <w:jc w:val="both"/>
        <w:rPr>
          <w:rFonts w:ascii="Tahoma" w:eastAsia="Tahoma" w:hAnsi="Tahoma" w:cs="Tahoma"/>
          <w:sz w:val="22"/>
          <w:szCs w:val="22"/>
        </w:rPr>
      </w:pPr>
      <w:r w:rsidRPr="005A4F4F">
        <w:rPr>
          <w:rFonts w:ascii="Tahoma" w:eastAsia="Tahoma" w:hAnsi="Tahoma" w:cs="Tahoma"/>
          <w:b/>
          <w:bCs/>
          <w:sz w:val="22"/>
          <w:szCs w:val="22"/>
        </w:rPr>
        <w:t>Densidade Populacional e Evacuação:</w:t>
      </w:r>
      <w:r w:rsidRPr="005A4F4F">
        <w:rPr>
          <w:rFonts w:ascii="Tahoma" w:eastAsia="Tahoma" w:hAnsi="Tahoma" w:cs="Tahoma"/>
          <w:sz w:val="22"/>
          <w:szCs w:val="22"/>
        </w:rPr>
        <w:t xml:space="preserve"> O adensamento populacional exacerbado dificulta evacuações rápidas e eficientes em caso de inundações repentinas. O aumento do número de residentes em arranha-céus e áreas densamente povoadas amplifica os desafios logísticos e de segurança em situações de emergência.</w:t>
      </w:r>
    </w:p>
    <w:p w:rsidR="005A4F4F" w:rsidRPr="005A4F4F" w:rsidRDefault="005A4F4F" w:rsidP="005A4F4F">
      <w:pPr>
        <w:numPr>
          <w:ilvl w:val="0"/>
          <w:numId w:val="9"/>
        </w:numPr>
        <w:spacing w:line="360" w:lineRule="auto"/>
        <w:jc w:val="both"/>
        <w:rPr>
          <w:rFonts w:ascii="Tahoma" w:eastAsia="Tahoma" w:hAnsi="Tahoma" w:cs="Tahoma"/>
          <w:sz w:val="22"/>
          <w:szCs w:val="22"/>
        </w:rPr>
      </w:pPr>
      <w:r w:rsidRPr="005A4F4F">
        <w:rPr>
          <w:rFonts w:ascii="Tahoma" w:eastAsia="Tahoma" w:hAnsi="Tahoma" w:cs="Tahoma"/>
          <w:b/>
          <w:bCs/>
          <w:sz w:val="22"/>
          <w:szCs w:val="22"/>
        </w:rPr>
        <w:t>Desafios na Infraestrutura de Drenagem:</w:t>
      </w:r>
      <w:r w:rsidRPr="005A4F4F">
        <w:rPr>
          <w:rFonts w:ascii="Tahoma" w:eastAsia="Tahoma" w:hAnsi="Tahoma" w:cs="Tahoma"/>
          <w:sz w:val="22"/>
          <w:szCs w:val="22"/>
        </w:rPr>
        <w:t xml:space="preserve"> A infraestrutura de drenagem, muitas vezes inadequada para lidar com o adensamento, é ainda mais sobrecarregada quando combinada com o aumento do nível do mar. Isso resulta em sistemas de drenagem ineficientes, contribuindo para a formação de áreas propícias a inundações e alagamentos.</w:t>
      </w:r>
    </w:p>
    <w:p w:rsidR="005A4F4F" w:rsidRDefault="005A4F4F" w:rsidP="005A4F4F">
      <w:pPr>
        <w:numPr>
          <w:ilvl w:val="0"/>
          <w:numId w:val="9"/>
        </w:numPr>
        <w:spacing w:line="360" w:lineRule="auto"/>
        <w:jc w:val="both"/>
        <w:rPr>
          <w:rFonts w:ascii="Tahoma" w:eastAsia="Tahoma" w:hAnsi="Tahoma" w:cs="Tahoma"/>
          <w:sz w:val="22"/>
          <w:szCs w:val="22"/>
        </w:rPr>
      </w:pPr>
      <w:r w:rsidRPr="005A4F4F">
        <w:rPr>
          <w:rFonts w:ascii="Tahoma" w:eastAsia="Tahoma" w:hAnsi="Tahoma" w:cs="Tahoma"/>
          <w:b/>
          <w:bCs/>
          <w:sz w:val="22"/>
          <w:szCs w:val="22"/>
        </w:rPr>
        <w:t>Riscos para a Saúde e Meio Ambiente:</w:t>
      </w:r>
      <w:r w:rsidRPr="005A4F4F">
        <w:rPr>
          <w:rFonts w:ascii="Tahoma" w:eastAsia="Tahoma" w:hAnsi="Tahoma" w:cs="Tahoma"/>
          <w:sz w:val="22"/>
          <w:szCs w:val="22"/>
        </w:rPr>
        <w:t xml:space="preserve"> A verticalização em áreas costeiras aumenta a exposição das comunidades a riscos ambientais e de saúde, como a contaminação da água </w:t>
      </w:r>
      <w:r w:rsidRPr="005A4F4F">
        <w:rPr>
          <w:rFonts w:ascii="Tahoma" w:eastAsia="Tahoma" w:hAnsi="Tahoma" w:cs="Tahoma"/>
          <w:sz w:val="22"/>
          <w:szCs w:val="22"/>
        </w:rPr>
        <w:lastRenderedPageBreak/>
        <w:t>potável devido à intrusão salina. Isso cria um cenário de vulnerabilidade que se intensifica com o aumento do nível do mar.</w:t>
      </w:r>
    </w:p>
    <w:p w:rsidR="005A4F4F" w:rsidRDefault="005A4F4F" w:rsidP="005A4F4F">
      <w:pPr>
        <w:spacing w:line="360" w:lineRule="auto"/>
        <w:ind w:left="720"/>
        <w:jc w:val="both"/>
        <w:rPr>
          <w:rFonts w:ascii="Tahoma" w:eastAsia="Tahoma" w:hAnsi="Tahoma" w:cs="Tahoma"/>
          <w:sz w:val="22"/>
          <w:szCs w:val="22"/>
        </w:rPr>
      </w:pPr>
    </w:p>
    <w:p w:rsidR="005A4F4F" w:rsidRPr="005A4F4F" w:rsidRDefault="005A4F4F" w:rsidP="005A4F4F">
      <w:pPr>
        <w:spacing w:line="360" w:lineRule="auto"/>
        <w:ind w:left="720"/>
        <w:jc w:val="both"/>
        <w:rPr>
          <w:rFonts w:ascii="Tahoma" w:eastAsia="Tahoma" w:hAnsi="Tahoma" w:cs="Tahoma"/>
          <w:sz w:val="22"/>
          <w:szCs w:val="22"/>
        </w:rPr>
      </w:pPr>
    </w:p>
    <w:p w:rsidR="005A4F4F" w:rsidRPr="005A4F4F" w:rsidRDefault="005A4F4F" w:rsidP="005A4F4F">
      <w:pPr>
        <w:spacing w:line="360" w:lineRule="auto"/>
        <w:jc w:val="both"/>
        <w:rPr>
          <w:rFonts w:ascii="Tahoma" w:eastAsia="Tahoma" w:hAnsi="Tahoma" w:cs="Tahoma"/>
          <w:sz w:val="22"/>
          <w:szCs w:val="22"/>
        </w:rPr>
      </w:pPr>
      <w:r w:rsidRPr="005A4F4F">
        <w:rPr>
          <w:rFonts w:ascii="Tahoma" w:eastAsia="Tahoma" w:hAnsi="Tahoma" w:cs="Tahoma"/>
          <w:sz w:val="22"/>
          <w:szCs w:val="22"/>
        </w:rPr>
        <w:t>O adensamento e a verticalização urbanos em áreas propensas ao aumento do nível do mar representam uma combinação perigosa diante das mudanças climáticas. A necessidade de repensar estratégias de planejamento urbano, promover a resiliência das infraestruturas e considerar medidas sustentáveis torna-se crucial. O desafio reside não apenas em construir cidades mais altas, mas em construir cidades mais inteligentes e adaptáveis, capazes de enfrentar os desafios iminentes do aumento do nível do mar</w:t>
      </w:r>
      <w:r>
        <w:rPr>
          <w:rFonts w:ascii="Tahoma" w:eastAsia="Tahoma" w:hAnsi="Tahoma" w:cs="Tahoma"/>
          <w:sz w:val="22"/>
          <w:szCs w:val="22"/>
        </w:rPr>
        <w:t>.</w:t>
      </w:r>
    </w:p>
    <w:p w:rsidR="00934AB0" w:rsidRDefault="00934AB0" w:rsidP="00E842ED">
      <w:pPr>
        <w:spacing w:line="360" w:lineRule="auto"/>
        <w:jc w:val="both"/>
        <w:rPr>
          <w:rFonts w:ascii="Tahoma" w:eastAsia="Tahoma" w:hAnsi="Tahoma" w:cs="Tahoma"/>
          <w:sz w:val="22"/>
          <w:szCs w:val="22"/>
        </w:rPr>
      </w:pPr>
    </w:p>
    <w:p w:rsidR="00EB25C6" w:rsidRPr="00864CFC" w:rsidRDefault="001A1DD3" w:rsidP="00E842ED">
      <w:pPr>
        <w:pBdr>
          <w:top w:val="none" w:sz="0" w:space="0" w:color="000000"/>
          <w:left w:val="none" w:sz="0" w:space="0" w:color="000000"/>
          <w:bottom w:val="none" w:sz="0" w:space="11" w:color="000000"/>
          <w:right w:val="none" w:sz="0" w:space="0" w:color="000000"/>
        </w:pBdr>
        <w:shd w:val="clear" w:color="auto" w:fill="FFFFFF"/>
        <w:spacing w:line="360" w:lineRule="auto"/>
        <w:ind w:right="-4"/>
        <w:jc w:val="both"/>
        <w:rPr>
          <w:rFonts w:ascii="Tahoma" w:eastAsia="Tahoma" w:hAnsi="Tahoma" w:cs="Tahoma"/>
          <w:b/>
          <w:sz w:val="22"/>
          <w:szCs w:val="22"/>
        </w:rPr>
      </w:pPr>
      <w:r w:rsidRPr="002C4B11">
        <w:rPr>
          <w:rFonts w:ascii="Tahoma" w:eastAsia="Tahoma" w:hAnsi="Tahoma" w:cs="Tahoma"/>
          <w:sz w:val="22"/>
          <w:szCs w:val="22"/>
        </w:rPr>
        <w:t xml:space="preserve">Desta forma, visando </w:t>
      </w:r>
      <w:r w:rsidR="005A4F4F">
        <w:rPr>
          <w:rFonts w:ascii="Tahoma" w:eastAsia="Tahoma" w:hAnsi="Tahoma" w:cs="Tahoma"/>
          <w:sz w:val="22"/>
          <w:szCs w:val="22"/>
        </w:rPr>
        <w:t>dar ciência ao grande público a respeito de como o território municipal será ocupado e</w:t>
      </w:r>
      <w:r w:rsidRPr="002C4B11">
        <w:rPr>
          <w:rFonts w:ascii="Tahoma" w:eastAsia="Tahoma" w:hAnsi="Tahoma" w:cs="Tahoma"/>
          <w:sz w:val="22"/>
          <w:szCs w:val="22"/>
        </w:rPr>
        <w:t xml:space="preserve"> aliando questões econômicas e de conservação e proteção socioambiental, contamos com o apoio dos nobres pares na aprovação desta emenda.</w:t>
      </w:r>
    </w:p>
    <w:sectPr w:rsidR="00EB25C6" w:rsidRPr="00864CFC" w:rsidSect="00864CFC">
      <w:headerReference w:type="default" r:id="rId18"/>
      <w:footerReference w:type="default" r:id="rId19"/>
      <w:pgSz w:w="11905" w:h="16837"/>
      <w:pgMar w:top="1134" w:right="706" w:bottom="1134" w:left="1005" w:header="720" w:footer="567"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57D8" w:rsidRDefault="00C157D8">
      <w:r>
        <w:separator/>
      </w:r>
    </w:p>
  </w:endnote>
  <w:endnote w:type="continuationSeparator" w:id="1">
    <w:p w:rsidR="00C157D8" w:rsidRDefault="00C157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CFC" w:rsidRDefault="00864CFC" w:rsidP="00864CFC">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p>
  <w:p w:rsidR="00864CFC" w:rsidRPr="00A63146" w:rsidRDefault="00864CFC" w:rsidP="00864CFC">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r w:rsidRPr="00A63146">
      <w:rPr>
        <w:rFonts w:ascii="Tahoma" w:eastAsia="Tahoma" w:hAnsi="Tahoma" w:cs="Tahoma"/>
        <w:b/>
        <w:i/>
        <w:color w:val="000000"/>
        <w:sz w:val="16"/>
        <w:szCs w:val="16"/>
      </w:rPr>
      <w:t xml:space="preserve">Av. Amaral Peixoto, 625 / Gabinete 30 – Centro – Niterói – RJ – CEP.: 24.023-900          </w:t>
    </w:r>
    <w:r w:rsidRPr="00A63146">
      <w:rPr>
        <w:rFonts w:ascii="Tahoma" w:eastAsia="Tahoma" w:hAnsi="Tahoma" w:cs="Tahoma"/>
        <w:b/>
        <w:color w:val="000000"/>
        <w:sz w:val="16"/>
        <w:szCs w:val="16"/>
      </w:rPr>
      <w:t>TF</w:t>
    </w:r>
  </w:p>
  <w:p w:rsidR="00864CFC" w:rsidRPr="00A63146" w:rsidRDefault="00864CFC" w:rsidP="00864CFC">
    <w:pPr>
      <w:pBdr>
        <w:top w:val="nil"/>
        <w:left w:val="nil"/>
        <w:bottom w:val="nil"/>
        <w:right w:val="nil"/>
        <w:between w:val="nil"/>
      </w:pBdr>
      <w:tabs>
        <w:tab w:val="center" w:pos="4252"/>
        <w:tab w:val="right" w:pos="8504"/>
      </w:tabs>
      <w:jc w:val="center"/>
      <w:rPr>
        <w:rFonts w:ascii="Tahoma" w:hAnsi="Tahoma" w:cs="Tahoma"/>
        <w:b/>
        <w:i/>
        <w:color w:val="000000"/>
        <w:sz w:val="16"/>
        <w:szCs w:val="16"/>
      </w:rPr>
    </w:pPr>
    <w:r w:rsidRPr="00A63146">
      <w:rPr>
        <w:rFonts w:ascii="Tahoma" w:eastAsia="Tahoma" w:hAnsi="Tahoma" w:cs="Tahoma"/>
        <w:b/>
        <w:i/>
        <w:color w:val="000000"/>
        <w:sz w:val="16"/>
        <w:szCs w:val="16"/>
      </w:rPr>
      <w:t>Telefone</w:t>
    </w:r>
    <w:r w:rsidRPr="00A63146">
      <w:rPr>
        <w:rFonts w:ascii="Tahoma" w:hAnsi="Tahoma" w:cs="Tahoma"/>
        <w:b/>
        <w:i/>
        <w:color w:val="000000"/>
        <w:sz w:val="16"/>
        <w:szCs w:val="16"/>
      </w:rPr>
      <w:t>2620.1321</w:t>
    </w:r>
    <w:r>
      <w:rPr>
        <w:rFonts w:ascii="Tahoma" w:hAnsi="Tahoma" w:cs="Tahoma"/>
        <w:b/>
        <w:i/>
        <w:color w:val="000000"/>
        <w:sz w:val="16"/>
        <w:szCs w:val="16"/>
      </w:rPr>
      <w:t>/ WhatsApp 9992.</w:t>
    </w:r>
    <w:r w:rsidRPr="00A63146">
      <w:rPr>
        <w:rFonts w:ascii="Tahoma" w:hAnsi="Tahoma" w:cs="Tahoma"/>
        <w:b/>
        <w:i/>
        <w:color w:val="000000"/>
        <w:sz w:val="16"/>
        <w:szCs w:val="16"/>
      </w:rPr>
      <w:t>25333</w:t>
    </w:r>
  </w:p>
  <w:p w:rsidR="00864CFC" w:rsidRPr="00A63146" w:rsidRDefault="00864CFC" w:rsidP="00864CFC">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r w:rsidRPr="00A63146">
      <w:rPr>
        <w:rFonts w:ascii="Tahoma" w:eastAsia="Tahoma" w:hAnsi="Tahoma" w:cs="Tahoma"/>
        <w:b/>
        <w:i/>
        <w:color w:val="000000"/>
        <w:sz w:val="16"/>
        <w:szCs w:val="16"/>
      </w:rPr>
      <w:t>E-mail: vereadordanielmarques@gmail.com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57D8" w:rsidRDefault="00C157D8">
      <w:r>
        <w:separator/>
      </w:r>
    </w:p>
  </w:footnote>
  <w:footnote w:type="continuationSeparator" w:id="1">
    <w:p w:rsidR="00C157D8" w:rsidRDefault="00C157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5C6" w:rsidRDefault="00EB25C6">
    <w:pPr>
      <w:pBdr>
        <w:top w:val="nil"/>
        <w:left w:val="nil"/>
        <w:bottom w:val="nil"/>
        <w:right w:val="nil"/>
        <w:between w:val="nil"/>
      </w:pBdr>
      <w:spacing w:line="276" w:lineRule="auto"/>
      <w:rPr>
        <w:rFonts w:ascii="Tahoma" w:eastAsia="Tahoma" w:hAnsi="Tahoma" w:cs="Tahoma"/>
        <w:sz w:val="22"/>
        <w:szCs w:val="22"/>
      </w:rPr>
    </w:pPr>
  </w:p>
  <w:tbl>
    <w:tblPr>
      <w:tblStyle w:val="1"/>
      <w:tblW w:w="9648" w:type="dxa"/>
      <w:tblInd w:w="-6" w:type="dxa"/>
      <w:tblLayout w:type="fixed"/>
      <w:tblLook w:val="0000"/>
    </w:tblPr>
    <w:tblGrid>
      <w:gridCol w:w="1728"/>
      <w:gridCol w:w="7920"/>
    </w:tblGrid>
    <w:tr w:rsidR="00EB25C6">
      <w:trPr>
        <w:cantSplit/>
        <w:trHeight w:val="1950"/>
        <w:tblHeader/>
      </w:trPr>
      <w:tc>
        <w:tcPr>
          <w:tcW w:w="1728" w:type="dxa"/>
        </w:tcPr>
        <w:p w:rsidR="00EB25C6" w:rsidRDefault="006241EF">
          <w:pPr>
            <w:pBdr>
              <w:top w:val="nil"/>
              <w:left w:val="nil"/>
              <w:bottom w:val="nil"/>
              <w:right w:val="nil"/>
              <w:between w:val="nil"/>
            </w:pBdr>
            <w:tabs>
              <w:tab w:val="center" w:pos="4252"/>
              <w:tab w:val="right" w:pos="8504"/>
            </w:tabs>
            <w:rPr>
              <w:rFonts w:ascii="Arial" w:eastAsia="Arial" w:hAnsi="Arial" w:cs="Arial"/>
              <w:color w:val="000000"/>
            </w:rPr>
          </w:pPr>
          <w:r>
            <w:rPr>
              <w:noProof/>
              <w:color w:val="000000"/>
              <w:lang w:eastAsia="pt-BR"/>
            </w:rPr>
            <w:drawing>
              <wp:inline distT="0" distB="0" distL="0" distR="0">
                <wp:extent cx="933450" cy="1123950"/>
                <wp:effectExtent l="0" t="0" r="0" b="0"/>
                <wp:docPr id="2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933450" cy="1123950"/>
                        </a:xfrm>
                        <a:prstGeom prst="rect">
                          <a:avLst/>
                        </a:prstGeom>
                        <a:ln/>
                      </pic:spPr>
                    </pic:pic>
                  </a:graphicData>
                </a:graphic>
              </wp:inline>
            </w:drawing>
          </w:r>
        </w:p>
      </w:tc>
      <w:tc>
        <w:tcPr>
          <w:tcW w:w="7920" w:type="dxa"/>
        </w:tcPr>
        <w:p w:rsidR="00EB25C6" w:rsidRDefault="00EB25C6">
          <w:pPr>
            <w:pBdr>
              <w:top w:val="nil"/>
              <w:left w:val="nil"/>
              <w:bottom w:val="nil"/>
              <w:right w:val="nil"/>
              <w:between w:val="nil"/>
            </w:pBdr>
            <w:tabs>
              <w:tab w:val="center" w:pos="4252"/>
              <w:tab w:val="right" w:pos="8504"/>
            </w:tabs>
            <w:rPr>
              <w:rFonts w:ascii="Arial" w:eastAsia="Arial" w:hAnsi="Arial" w:cs="Arial"/>
              <w:color w:val="000000"/>
            </w:rPr>
          </w:pPr>
        </w:p>
        <w:p w:rsidR="00EB25C6" w:rsidRDefault="00EB25C6">
          <w:pPr>
            <w:pBdr>
              <w:top w:val="nil"/>
              <w:left w:val="nil"/>
              <w:bottom w:val="nil"/>
              <w:right w:val="nil"/>
              <w:between w:val="nil"/>
            </w:pBdr>
            <w:tabs>
              <w:tab w:val="center" w:pos="4252"/>
              <w:tab w:val="right" w:pos="8504"/>
            </w:tabs>
            <w:rPr>
              <w:rFonts w:ascii="Arial" w:eastAsia="Arial" w:hAnsi="Arial" w:cs="Arial"/>
              <w:color w:val="000000"/>
            </w:rPr>
          </w:pPr>
        </w:p>
        <w:p w:rsidR="00EB25C6" w:rsidRDefault="006241EF">
          <w:pPr>
            <w:pBdr>
              <w:top w:val="nil"/>
              <w:left w:val="nil"/>
              <w:bottom w:val="nil"/>
              <w:right w:val="nil"/>
              <w:between w:val="nil"/>
            </w:pBdr>
            <w:tabs>
              <w:tab w:val="center" w:pos="4252"/>
              <w:tab w:val="right" w:pos="8504"/>
            </w:tabs>
            <w:jc w:val="center"/>
            <w:rPr>
              <w:rFonts w:ascii="Tahoma" w:eastAsia="Tahoma" w:hAnsi="Tahoma" w:cs="Tahoma"/>
              <w:b/>
              <w:color w:val="000000"/>
              <w:sz w:val="48"/>
              <w:szCs w:val="48"/>
            </w:rPr>
          </w:pPr>
          <w:r>
            <w:rPr>
              <w:rFonts w:ascii="Tahoma" w:eastAsia="Tahoma" w:hAnsi="Tahoma" w:cs="Tahoma"/>
              <w:b/>
              <w:color w:val="000000"/>
              <w:sz w:val="48"/>
              <w:szCs w:val="48"/>
            </w:rPr>
            <w:t>Câmara Municipal de Niterói</w:t>
          </w:r>
        </w:p>
        <w:p w:rsidR="00EB25C6" w:rsidRDefault="00EB25C6">
          <w:pPr>
            <w:pBdr>
              <w:top w:val="nil"/>
              <w:left w:val="nil"/>
              <w:bottom w:val="nil"/>
              <w:right w:val="nil"/>
              <w:between w:val="nil"/>
            </w:pBdr>
            <w:tabs>
              <w:tab w:val="center" w:pos="4252"/>
              <w:tab w:val="right" w:pos="8504"/>
            </w:tabs>
            <w:jc w:val="center"/>
            <w:rPr>
              <w:rFonts w:ascii="Tahoma" w:eastAsia="Tahoma" w:hAnsi="Tahoma" w:cs="Tahoma"/>
              <w:color w:val="000000"/>
              <w:sz w:val="4"/>
              <w:szCs w:val="4"/>
            </w:rPr>
          </w:pPr>
        </w:p>
        <w:p w:rsidR="00EB25C6" w:rsidRDefault="006241EF">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r>
            <w:rPr>
              <w:rFonts w:ascii="Tahoma" w:eastAsia="Tahoma" w:hAnsi="Tahoma" w:cs="Tahoma"/>
              <w:b/>
              <w:color w:val="000000"/>
              <w:sz w:val="28"/>
              <w:szCs w:val="28"/>
            </w:rPr>
            <w:t>Gabinete Vereador Daniel Marques</w:t>
          </w:r>
        </w:p>
        <w:p w:rsidR="00EB25C6" w:rsidRDefault="00EB25C6">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p>
      </w:tc>
    </w:tr>
  </w:tbl>
  <w:p w:rsidR="00EB25C6" w:rsidRDefault="00EB25C6">
    <w:pPr>
      <w:pBdr>
        <w:top w:val="nil"/>
        <w:left w:val="nil"/>
        <w:bottom w:val="nil"/>
        <w:right w:val="nil"/>
        <w:between w:val="nil"/>
      </w:pBdr>
      <w:tabs>
        <w:tab w:val="center" w:pos="4252"/>
        <w:tab w:val="right" w:pos="8504"/>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40B6F"/>
    <w:multiLevelType w:val="multilevel"/>
    <w:tmpl w:val="BC20B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DB7C81"/>
    <w:multiLevelType w:val="hybridMultilevel"/>
    <w:tmpl w:val="9AF0553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B6C09ED"/>
    <w:multiLevelType w:val="multilevel"/>
    <w:tmpl w:val="13088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C3136E"/>
    <w:multiLevelType w:val="multilevel"/>
    <w:tmpl w:val="113ED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A564504"/>
    <w:multiLevelType w:val="multilevel"/>
    <w:tmpl w:val="E9949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564ADE"/>
    <w:multiLevelType w:val="multilevel"/>
    <w:tmpl w:val="E8E2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483653D"/>
    <w:multiLevelType w:val="multilevel"/>
    <w:tmpl w:val="469E9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4BC5EB5"/>
    <w:multiLevelType w:val="hybridMultilevel"/>
    <w:tmpl w:val="6DB4EC6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9127D99"/>
    <w:multiLevelType w:val="multilevel"/>
    <w:tmpl w:val="3C7A6CBC"/>
    <w:lvl w:ilvl="0">
      <w:start w:val="1"/>
      <w:numFmt w:val="decimal"/>
      <w:lvlText w:val="%1."/>
      <w:lvlJc w:val="left"/>
      <w:pPr>
        <w:ind w:left="720" w:hanging="360"/>
      </w:pPr>
      <w:rPr>
        <w:b/>
        <w:sz w:val="22"/>
        <w:szCs w:val="22"/>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4320" w:hanging="180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num w:numId="1">
    <w:abstractNumId w:val="0"/>
  </w:num>
  <w:num w:numId="2">
    <w:abstractNumId w:val="8"/>
  </w:num>
  <w:num w:numId="3">
    <w:abstractNumId w:val="7"/>
  </w:num>
  <w:num w:numId="4">
    <w:abstractNumId w:val="6"/>
  </w:num>
  <w:num w:numId="5">
    <w:abstractNumId w:val="4"/>
  </w:num>
  <w:num w:numId="6">
    <w:abstractNumId w:val="2"/>
  </w:num>
  <w:num w:numId="7">
    <w:abstractNumId w:val="5"/>
  </w:num>
  <w:num w:numId="8">
    <w:abstractNumId w:val="1"/>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hyphenationZone w:val="425"/>
  <w:characterSpacingControl w:val="doNotCompress"/>
  <w:footnotePr>
    <w:footnote w:id="0"/>
    <w:footnote w:id="1"/>
  </w:footnotePr>
  <w:endnotePr>
    <w:endnote w:id="0"/>
    <w:endnote w:id="1"/>
  </w:endnotePr>
  <w:compat/>
  <w:rsids>
    <w:rsidRoot w:val="00EB25C6"/>
    <w:rsid w:val="00007F0D"/>
    <w:rsid w:val="0002285C"/>
    <w:rsid w:val="00032ED4"/>
    <w:rsid w:val="00055BD0"/>
    <w:rsid w:val="00055CDF"/>
    <w:rsid w:val="00062700"/>
    <w:rsid w:val="00064494"/>
    <w:rsid w:val="00072305"/>
    <w:rsid w:val="00085C8D"/>
    <w:rsid w:val="00090A10"/>
    <w:rsid w:val="000A2B1F"/>
    <w:rsid w:val="000A6933"/>
    <w:rsid w:val="000A6DD0"/>
    <w:rsid w:val="000B24DF"/>
    <w:rsid w:val="000C4D79"/>
    <w:rsid w:val="000D312E"/>
    <w:rsid w:val="000F25DF"/>
    <w:rsid w:val="00101243"/>
    <w:rsid w:val="00106D2F"/>
    <w:rsid w:val="00107CE6"/>
    <w:rsid w:val="00115473"/>
    <w:rsid w:val="00131938"/>
    <w:rsid w:val="00133DDC"/>
    <w:rsid w:val="00133ECD"/>
    <w:rsid w:val="00143A90"/>
    <w:rsid w:val="0014471F"/>
    <w:rsid w:val="00166FE2"/>
    <w:rsid w:val="001768E3"/>
    <w:rsid w:val="00181660"/>
    <w:rsid w:val="001A1DD3"/>
    <w:rsid w:val="001A28A2"/>
    <w:rsid w:val="001B357E"/>
    <w:rsid w:val="001C13BD"/>
    <w:rsid w:val="001C3271"/>
    <w:rsid w:val="001F0B30"/>
    <w:rsid w:val="001F3CF6"/>
    <w:rsid w:val="001F3F52"/>
    <w:rsid w:val="00217048"/>
    <w:rsid w:val="00223AC5"/>
    <w:rsid w:val="00225EE1"/>
    <w:rsid w:val="002713BC"/>
    <w:rsid w:val="002733B2"/>
    <w:rsid w:val="00273635"/>
    <w:rsid w:val="00284B22"/>
    <w:rsid w:val="002939EA"/>
    <w:rsid w:val="0029513E"/>
    <w:rsid w:val="002977F0"/>
    <w:rsid w:val="002A296E"/>
    <w:rsid w:val="002B4DE1"/>
    <w:rsid w:val="002C75D1"/>
    <w:rsid w:val="002D372E"/>
    <w:rsid w:val="002D4100"/>
    <w:rsid w:val="002E654D"/>
    <w:rsid w:val="002F5270"/>
    <w:rsid w:val="00310580"/>
    <w:rsid w:val="00323398"/>
    <w:rsid w:val="003278E9"/>
    <w:rsid w:val="00334C73"/>
    <w:rsid w:val="00334D08"/>
    <w:rsid w:val="00340D2F"/>
    <w:rsid w:val="003507C4"/>
    <w:rsid w:val="0035394F"/>
    <w:rsid w:val="0035489A"/>
    <w:rsid w:val="00375E54"/>
    <w:rsid w:val="003776C1"/>
    <w:rsid w:val="003B27EB"/>
    <w:rsid w:val="003E622A"/>
    <w:rsid w:val="003E669E"/>
    <w:rsid w:val="00415004"/>
    <w:rsid w:val="00422699"/>
    <w:rsid w:val="0043577C"/>
    <w:rsid w:val="004365FC"/>
    <w:rsid w:val="00440E08"/>
    <w:rsid w:val="00443CF7"/>
    <w:rsid w:val="00453948"/>
    <w:rsid w:val="00474BF0"/>
    <w:rsid w:val="00482D03"/>
    <w:rsid w:val="004844C1"/>
    <w:rsid w:val="00485A11"/>
    <w:rsid w:val="004A46DA"/>
    <w:rsid w:val="004C4F69"/>
    <w:rsid w:val="004C7D18"/>
    <w:rsid w:val="004E4CE8"/>
    <w:rsid w:val="004E6C61"/>
    <w:rsid w:val="00511D6B"/>
    <w:rsid w:val="0052137E"/>
    <w:rsid w:val="0053015B"/>
    <w:rsid w:val="00553BFF"/>
    <w:rsid w:val="00555DEE"/>
    <w:rsid w:val="00557175"/>
    <w:rsid w:val="005610BE"/>
    <w:rsid w:val="00561B54"/>
    <w:rsid w:val="00564C07"/>
    <w:rsid w:val="005674B4"/>
    <w:rsid w:val="00567873"/>
    <w:rsid w:val="00580F27"/>
    <w:rsid w:val="005A4F4F"/>
    <w:rsid w:val="005B49DB"/>
    <w:rsid w:val="005C13C5"/>
    <w:rsid w:val="005D116C"/>
    <w:rsid w:val="005D16A0"/>
    <w:rsid w:val="005D2F5C"/>
    <w:rsid w:val="005D763D"/>
    <w:rsid w:val="005F0A7A"/>
    <w:rsid w:val="005F4307"/>
    <w:rsid w:val="005F7467"/>
    <w:rsid w:val="00601415"/>
    <w:rsid w:val="0061075C"/>
    <w:rsid w:val="006161AA"/>
    <w:rsid w:val="006241EF"/>
    <w:rsid w:val="006464C7"/>
    <w:rsid w:val="0065080C"/>
    <w:rsid w:val="00653BA8"/>
    <w:rsid w:val="00657D7E"/>
    <w:rsid w:val="006A25FC"/>
    <w:rsid w:val="006A7C96"/>
    <w:rsid w:val="006B25E8"/>
    <w:rsid w:val="006B2D1E"/>
    <w:rsid w:val="006B640A"/>
    <w:rsid w:val="006C4245"/>
    <w:rsid w:val="006E7792"/>
    <w:rsid w:val="006F458B"/>
    <w:rsid w:val="0070163D"/>
    <w:rsid w:val="00724115"/>
    <w:rsid w:val="00732BD4"/>
    <w:rsid w:val="00734C67"/>
    <w:rsid w:val="007452F8"/>
    <w:rsid w:val="007539CA"/>
    <w:rsid w:val="00755039"/>
    <w:rsid w:val="00767D69"/>
    <w:rsid w:val="007703AE"/>
    <w:rsid w:val="00785FCD"/>
    <w:rsid w:val="00790A8C"/>
    <w:rsid w:val="007A629E"/>
    <w:rsid w:val="007B3E64"/>
    <w:rsid w:val="007C26D4"/>
    <w:rsid w:val="007C798A"/>
    <w:rsid w:val="007D23BE"/>
    <w:rsid w:val="007E21E5"/>
    <w:rsid w:val="00805CD0"/>
    <w:rsid w:val="0080696C"/>
    <w:rsid w:val="008100B9"/>
    <w:rsid w:val="00811A39"/>
    <w:rsid w:val="0081529B"/>
    <w:rsid w:val="00824D42"/>
    <w:rsid w:val="00854F23"/>
    <w:rsid w:val="00864CFC"/>
    <w:rsid w:val="00877A54"/>
    <w:rsid w:val="00880332"/>
    <w:rsid w:val="008832EC"/>
    <w:rsid w:val="00885D99"/>
    <w:rsid w:val="008965B6"/>
    <w:rsid w:val="008C496C"/>
    <w:rsid w:val="008E00F6"/>
    <w:rsid w:val="008E3E17"/>
    <w:rsid w:val="009030FA"/>
    <w:rsid w:val="0091515F"/>
    <w:rsid w:val="00915CF8"/>
    <w:rsid w:val="009203CB"/>
    <w:rsid w:val="009255EB"/>
    <w:rsid w:val="00934AB0"/>
    <w:rsid w:val="0093647C"/>
    <w:rsid w:val="00956B3A"/>
    <w:rsid w:val="00977D40"/>
    <w:rsid w:val="00994B30"/>
    <w:rsid w:val="009955A0"/>
    <w:rsid w:val="009A162A"/>
    <w:rsid w:val="009A2F59"/>
    <w:rsid w:val="009A3644"/>
    <w:rsid w:val="009B1085"/>
    <w:rsid w:val="009B2868"/>
    <w:rsid w:val="009B5B49"/>
    <w:rsid w:val="009C4038"/>
    <w:rsid w:val="009D550E"/>
    <w:rsid w:val="009D74D6"/>
    <w:rsid w:val="00A1394F"/>
    <w:rsid w:val="00A429A6"/>
    <w:rsid w:val="00A621E6"/>
    <w:rsid w:val="00A9777C"/>
    <w:rsid w:val="00AD04A6"/>
    <w:rsid w:val="00AE2019"/>
    <w:rsid w:val="00AF5D87"/>
    <w:rsid w:val="00B1492F"/>
    <w:rsid w:val="00B168DF"/>
    <w:rsid w:val="00B21ECB"/>
    <w:rsid w:val="00B30BD6"/>
    <w:rsid w:val="00B32772"/>
    <w:rsid w:val="00B36CA8"/>
    <w:rsid w:val="00B41F6A"/>
    <w:rsid w:val="00B434E0"/>
    <w:rsid w:val="00B6337D"/>
    <w:rsid w:val="00B761E4"/>
    <w:rsid w:val="00B83959"/>
    <w:rsid w:val="00B973D2"/>
    <w:rsid w:val="00B97C3A"/>
    <w:rsid w:val="00BB2028"/>
    <w:rsid w:val="00BC2E43"/>
    <w:rsid w:val="00BD26B8"/>
    <w:rsid w:val="00C0276D"/>
    <w:rsid w:val="00C1510E"/>
    <w:rsid w:val="00C157D8"/>
    <w:rsid w:val="00C20DBB"/>
    <w:rsid w:val="00C26000"/>
    <w:rsid w:val="00C37659"/>
    <w:rsid w:val="00C5481B"/>
    <w:rsid w:val="00C574DB"/>
    <w:rsid w:val="00C57719"/>
    <w:rsid w:val="00C76255"/>
    <w:rsid w:val="00C914A1"/>
    <w:rsid w:val="00CA635D"/>
    <w:rsid w:val="00CB22C0"/>
    <w:rsid w:val="00CD247F"/>
    <w:rsid w:val="00CF24ED"/>
    <w:rsid w:val="00CF6914"/>
    <w:rsid w:val="00D03E75"/>
    <w:rsid w:val="00D06A54"/>
    <w:rsid w:val="00D127F5"/>
    <w:rsid w:val="00D22673"/>
    <w:rsid w:val="00D34F38"/>
    <w:rsid w:val="00D36CA0"/>
    <w:rsid w:val="00D40DFF"/>
    <w:rsid w:val="00D43A2F"/>
    <w:rsid w:val="00D53543"/>
    <w:rsid w:val="00D551A5"/>
    <w:rsid w:val="00D60A0C"/>
    <w:rsid w:val="00D67619"/>
    <w:rsid w:val="00D73C14"/>
    <w:rsid w:val="00DB03F8"/>
    <w:rsid w:val="00DC30F3"/>
    <w:rsid w:val="00DD566B"/>
    <w:rsid w:val="00DE2DD7"/>
    <w:rsid w:val="00DE4199"/>
    <w:rsid w:val="00E02DA0"/>
    <w:rsid w:val="00E04E04"/>
    <w:rsid w:val="00E06598"/>
    <w:rsid w:val="00E24F5C"/>
    <w:rsid w:val="00E27ED4"/>
    <w:rsid w:val="00E40628"/>
    <w:rsid w:val="00E5441A"/>
    <w:rsid w:val="00E55328"/>
    <w:rsid w:val="00E62705"/>
    <w:rsid w:val="00E842ED"/>
    <w:rsid w:val="00E95E32"/>
    <w:rsid w:val="00EA5C04"/>
    <w:rsid w:val="00EB25C6"/>
    <w:rsid w:val="00EC3278"/>
    <w:rsid w:val="00ED2532"/>
    <w:rsid w:val="00ED66DB"/>
    <w:rsid w:val="00F008B1"/>
    <w:rsid w:val="00F02495"/>
    <w:rsid w:val="00F04327"/>
    <w:rsid w:val="00F0535A"/>
    <w:rsid w:val="00F208DE"/>
    <w:rsid w:val="00F2496F"/>
    <w:rsid w:val="00F33E1A"/>
    <w:rsid w:val="00F40A4F"/>
    <w:rsid w:val="00F41E8A"/>
    <w:rsid w:val="00F500EB"/>
    <w:rsid w:val="00F5053A"/>
    <w:rsid w:val="00F54E0A"/>
    <w:rsid w:val="00F63427"/>
    <w:rsid w:val="00F63EEA"/>
    <w:rsid w:val="00F661B2"/>
    <w:rsid w:val="00F66DF0"/>
    <w:rsid w:val="00FA36A0"/>
    <w:rsid w:val="00FB5EF4"/>
    <w:rsid w:val="00FB6F6B"/>
    <w:rsid w:val="00FD276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981"/>
    <w:pPr>
      <w:suppressAutoHyphens/>
    </w:pPr>
    <w:rPr>
      <w:rFonts w:eastAsia="Lucida Sans Unicode"/>
      <w:kern w:val="1"/>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2">
    <w:name w:val="heading 2"/>
    <w:basedOn w:val="Normal1"/>
    <w:next w:val="Normal1"/>
    <w:rsid w:val="00744EBE"/>
    <w:pPr>
      <w:keepNext/>
      <w:keepLines/>
      <w:spacing w:before="360" w:after="80"/>
      <w:outlineLvl w:val="1"/>
    </w:pPr>
    <w:rPr>
      <w:b/>
      <w:sz w:val="36"/>
      <w:szCs w:val="36"/>
    </w:rPr>
  </w:style>
  <w:style w:type="paragraph" w:styleId="Ttulo3">
    <w:name w:val="heading 3"/>
    <w:basedOn w:val="Normal1"/>
    <w:next w:val="Normal1"/>
    <w:rsid w:val="00744EBE"/>
    <w:pPr>
      <w:keepNext/>
      <w:keepLines/>
      <w:spacing w:before="280" w:after="80"/>
      <w:outlineLvl w:val="2"/>
    </w:pPr>
    <w:rPr>
      <w:b/>
      <w:sz w:val="28"/>
      <w:szCs w:val="28"/>
    </w:rPr>
  </w:style>
  <w:style w:type="paragraph" w:styleId="Ttulo4">
    <w:name w:val="heading 4"/>
    <w:basedOn w:val="Normal1"/>
    <w:next w:val="Normal1"/>
    <w:rsid w:val="00744EBE"/>
    <w:pPr>
      <w:keepNext/>
      <w:keepLines/>
      <w:spacing w:before="240" w:after="40"/>
      <w:outlineLvl w:val="3"/>
    </w:pPr>
    <w:rPr>
      <w:b/>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paragraph" w:styleId="Ttulo6">
    <w:name w:val="heading 6"/>
    <w:basedOn w:val="Normal1"/>
    <w:next w:val="Normal1"/>
    <w:rsid w:val="00744EBE"/>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5F4307"/>
    <w:tblPr>
      <w:tblCellMar>
        <w:top w:w="0" w:type="dxa"/>
        <w:left w:w="0" w:type="dxa"/>
        <w:bottom w:w="0" w:type="dxa"/>
        <w:right w:w="0" w:type="dxa"/>
      </w:tblCellMar>
    </w:tblPr>
  </w:style>
  <w:style w:type="paragraph" w:styleId="Ttulo">
    <w:name w:val="Title"/>
    <w:basedOn w:val="Normal1"/>
    <w:next w:val="Normal1"/>
    <w:rsid w:val="00744EBE"/>
    <w:pPr>
      <w:keepNext/>
      <w:keepLines/>
      <w:spacing w:before="480" w:after="120"/>
    </w:pPr>
    <w:rPr>
      <w:b/>
      <w:sz w:val="72"/>
      <w:szCs w:val="72"/>
    </w:rPr>
  </w:style>
  <w:style w:type="paragraph" w:customStyle="1" w:styleId="Normal1">
    <w:name w:val="Normal1"/>
    <w:rsid w:val="00744EBE"/>
  </w:style>
  <w:style w:type="table" w:customStyle="1" w:styleId="TableNormal1">
    <w:name w:val="Table Normal1"/>
    <w:rsid w:val="00744EBE"/>
    <w:tblPr>
      <w:tblCellMar>
        <w:top w:w="0" w:type="dxa"/>
        <w:left w:w="0" w:type="dxa"/>
        <w:bottom w:w="0" w:type="dxa"/>
        <w:right w:w="0" w:type="dxa"/>
      </w:tblCellMar>
    </w:tblPr>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0">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0">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1">
    <w:name w:val="Normal11"/>
    <w:basedOn w:val="Normal"/>
    <w:rsid w:val="00427981"/>
    <w:rPr>
      <w:b/>
      <w:i/>
      <w:sz w:val="32"/>
      <w:szCs w:val="20"/>
    </w:rPr>
  </w:style>
  <w:style w:type="paragraph" w:customStyle="1" w:styleId="Legenda1">
    <w:name w:val="Legenda1"/>
    <w:basedOn w:val="Normal1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a1">
    <w:name w:val="Data1"/>
    <w:basedOn w:val="Fontepargpadro"/>
    <w:rsid w:val="00C046F9"/>
  </w:style>
  <w:style w:type="character" w:customStyle="1" w:styleId="meta-reading-time">
    <w:name w:val="meta-reading-time"/>
    <w:basedOn w:val="Fontepargpadro"/>
    <w:rsid w:val="00C046F9"/>
  </w:style>
  <w:style w:type="paragraph" w:styleId="Subttulo">
    <w:name w:val="Subtitle"/>
    <w:basedOn w:val="Normal"/>
    <w:next w:val="Normal"/>
    <w:rsid w:val="005F4307"/>
    <w:pPr>
      <w:keepNext/>
      <w:keepLines/>
      <w:spacing w:before="360" w:after="80"/>
    </w:pPr>
    <w:rPr>
      <w:rFonts w:ascii="Georgia" w:eastAsia="Georgia" w:hAnsi="Georgia" w:cs="Georgia"/>
      <w:i/>
      <w:color w:val="666666"/>
      <w:sz w:val="48"/>
      <w:szCs w:val="48"/>
    </w:rPr>
  </w:style>
  <w:style w:type="table" w:customStyle="1" w:styleId="2">
    <w:name w:val="2"/>
    <w:basedOn w:val="TableNormal1"/>
    <w:rsid w:val="00744EBE"/>
    <w:tblPr>
      <w:tblStyleRowBandSize w:val="1"/>
      <w:tblStyleColBandSize w:val="1"/>
      <w:tblCellMar>
        <w:top w:w="0" w:type="dxa"/>
        <w:left w:w="115" w:type="dxa"/>
        <w:bottom w:w="0" w:type="dxa"/>
        <w:right w:w="115" w:type="dxa"/>
      </w:tblCellMar>
    </w:tblPr>
  </w:style>
  <w:style w:type="table" w:customStyle="1" w:styleId="1">
    <w:name w:val="1"/>
    <w:basedOn w:val="TableNormal1"/>
    <w:rsid w:val="005F4307"/>
    <w:tblPr>
      <w:tblStyleRowBandSize w:val="1"/>
      <w:tblStyleColBandSize w:val="1"/>
      <w:tblCellMar>
        <w:top w:w="0" w:type="dxa"/>
        <w:left w:w="115" w:type="dxa"/>
        <w:bottom w:w="0" w:type="dxa"/>
        <w:right w:w="115" w:type="dxa"/>
      </w:tblCellMar>
    </w:tblPr>
  </w:style>
  <w:style w:type="paragraph" w:styleId="PargrafodaLista">
    <w:name w:val="List Paragraph"/>
    <w:basedOn w:val="Normal"/>
    <w:uiPriority w:val="34"/>
    <w:qFormat/>
    <w:rsid w:val="009A162A"/>
    <w:pPr>
      <w:ind w:left="720"/>
      <w:contextualSpacing/>
    </w:pPr>
  </w:style>
  <w:style w:type="paragraph" w:styleId="Textodenotaderodap">
    <w:name w:val="footnote text"/>
    <w:basedOn w:val="Normal"/>
    <w:link w:val="TextodenotaderodapChar"/>
    <w:uiPriority w:val="99"/>
    <w:semiHidden/>
    <w:unhideWhenUsed/>
    <w:rsid w:val="006B25E8"/>
    <w:rPr>
      <w:sz w:val="20"/>
      <w:szCs w:val="20"/>
    </w:rPr>
  </w:style>
  <w:style w:type="character" w:customStyle="1" w:styleId="TextodenotaderodapChar">
    <w:name w:val="Texto de nota de rodapé Char"/>
    <w:basedOn w:val="Fontepargpadro"/>
    <w:link w:val="Textodenotaderodap"/>
    <w:uiPriority w:val="99"/>
    <w:semiHidden/>
    <w:rsid w:val="006B25E8"/>
    <w:rPr>
      <w:rFonts w:eastAsia="Lucida Sans Unicode"/>
      <w:kern w:val="1"/>
      <w:sz w:val="20"/>
      <w:szCs w:val="20"/>
      <w:lang w:eastAsia="ar-SA"/>
    </w:rPr>
  </w:style>
  <w:style w:type="character" w:styleId="Refdenotaderodap">
    <w:name w:val="footnote reference"/>
    <w:basedOn w:val="Fontepargpadro"/>
    <w:uiPriority w:val="99"/>
    <w:semiHidden/>
    <w:unhideWhenUsed/>
    <w:rsid w:val="006B25E8"/>
    <w:rPr>
      <w:vertAlign w:val="superscript"/>
    </w:rPr>
  </w:style>
</w:styles>
</file>

<file path=word/webSettings.xml><?xml version="1.0" encoding="utf-8"?>
<w:webSettings xmlns:r="http://schemas.openxmlformats.org/officeDocument/2006/relationships" xmlns:w="http://schemas.openxmlformats.org/wordprocessingml/2006/main">
  <w:divs>
    <w:div w:id="81025862">
      <w:bodyDiv w:val="1"/>
      <w:marLeft w:val="0"/>
      <w:marRight w:val="0"/>
      <w:marTop w:val="0"/>
      <w:marBottom w:val="0"/>
      <w:divBdr>
        <w:top w:val="none" w:sz="0" w:space="0" w:color="auto"/>
        <w:left w:val="none" w:sz="0" w:space="0" w:color="auto"/>
        <w:bottom w:val="none" w:sz="0" w:space="0" w:color="auto"/>
        <w:right w:val="none" w:sz="0" w:space="0" w:color="auto"/>
      </w:divBdr>
    </w:div>
    <w:div w:id="93408790">
      <w:bodyDiv w:val="1"/>
      <w:marLeft w:val="0"/>
      <w:marRight w:val="0"/>
      <w:marTop w:val="0"/>
      <w:marBottom w:val="0"/>
      <w:divBdr>
        <w:top w:val="none" w:sz="0" w:space="0" w:color="auto"/>
        <w:left w:val="none" w:sz="0" w:space="0" w:color="auto"/>
        <w:bottom w:val="none" w:sz="0" w:space="0" w:color="auto"/>
        <w:right w:val="none" w:sz="0" w:space="0" w:color="auto"/>
      </w:divBdr>
    </w:div>
    <w:div w:id="566309892">
      <w:bodyDiv w:val="1"/>
      <w:marLeft w:val="0"/>
      <w:marRight w:val="0"/>
      <w:marTop w:val="0"/>
      <w:marBottom w:val="0"/>
      <w:divBdr>
        <w:top w:val="none" w:sz="0" w:space="0" w:color="auto"/>
        <w:left w:val="none" w:sz="0" w:space="0" w:color="auto"/>
        <w:bottom w:val="none" w:sz="0" w:space="0" w:color="auto"/>
        <w:right w:val="none" w:sz="0" w:space="0" w:color="auto"/>
      </w:divBdr>
    </w:div>
    <w:div w:id="619145323">
      <w:bodyDiv w:val="1"/>
      <w:marLeft w:val="0"/>
      <w:marRight w:val="0"/>
      <w:marTop w:val="0"/>
      <w:marBottom w:val="0"/>
      <w:divBdr>
        <w:top w:val="none" w:sz="0" w:space="0" w:color="auto"/>
        <w:left w:val="none" w:sz="0" w:space="0" w:color="auto"/>
        <w:bottom w:val="none" w:sz="0" w:space="0" w:color="auto"/>
        <w:right w:val="none" w:sz="0" w:space="0" w:color="auto"/>
      </w:divBdr>
    </w:div>
    <w:div w:id="706296903">
      <w:bodyDiv w:val="1"/>
      <w:marLeft w:val="0"/>
      <w:marRight w:val="0"/>
      <w:marTop w:val="0"/>
      <w:marBottom w:val="0"/>
      <w:divBdr>
        <w:top w:val="none" w:sz="0" w:space="0" w:color="auto"/>
        <w:left w:val="none" w:sz="0" w:space="0" w:color="auto"/>
        <w:bottom w:val="none" w:sz="0" w:space="0" w:color="auto"/>
        <w:right w:val="none" w:sz="0" w:space="0" w:color="auto"/>
      </w:divBdr>
    </w:div>
    <w:div w:id="855000814">
      <w:bodyDiv w:val="1"/>
      <w:marLeft w:val="0"/>
      <w:marRight w:val="0"/>
      <w:marTop w:val="0"/>
      <w:marBottom w:val="0"/>
      <w:divBdr>
        <w:top w:val="none" w:sz="0" w:space="0" w:color="auto"/>
        <w:left w:val="none" w:sz="0" w:space="0" w:color="auto"/>
        <w:bottom w:val="none" w:sz="0" w:space="0" w:color="auto"/>
        <w:right w:val="none" w:sz="0" w:space="0" w:color="auto"/>
      </w:divBdr>
    </w:div>
    <w:div w:id="924338127">
      <w:bodyDiv w:val="1"/>
      <w:marLeft w:val="0"/>
      <w:marRight w:val="0"/>
      <w:marTop w:val="0"/>
      <w:marBottom w:val="0"/>
      <w:divBdr>
        <w:top w:val="none" w:sz="0" w:space="0" w:color="auto"/>
        <w:left w:val="none" w:sz="0" w:space="0" w:color="auto"/>
        <w:bottom w:val="none" w:sz="0" w:space="0" w:color="auto"/>
        <w:right w:val="none" w:sz="0" w:space="0" w:color="auto"/>
      </w:divBdr>
    </w:div>
    <w:div w:id="1091197256">
      <w:bodyDiv w:val="1"/>
      <w:marLeft w:val="0"/>
      <w:marRight w:val="0"/>
      <w:marTop w:val="0"/>
      <w:marBottom w:val="0"/>
      <w:divBdr>
        <w:top w:val="none" w:sz="0" w:space="0" w:color="auto"/>
        <w:left w:val="none" w:sz="0" w:space="0" w:color="auto"/>
        <w:bottom w:val="none" w:sz="0" w:space="0" w:color="auto"/>
        <w:right w:val="none" w:sz="0" w:space="0" w:color="auto"/>
      </w:divBdr>
    </w:div>
    <w:div w:id="1142501070">
      <w:bodyDiv w:val="1"/>
      <w:marLeft w:val="0"/>
      <w:marRight w:val="0"/>
      <w:marTop w:val="0"/>
      <w:marBottom w:val="0"/>
      <w:divBdr>
        <w:top w:val="none" w:sz="0" w:space="0" w:color="auto"/>
        <w:left w:val="none" w:sz="0" w:space="0" w:color="auto"/>
        <w:bottom w:val="none" w:sz="0" w:space="0" w:color="auto"/>
        <w:right w:val="none" w:sz="0" w:space="0" w:color="auto"/>
      </w:divBdr>
    </w:div>
    <w:div w:id="1149248019">
      <w:bodyDiv w:val="1"/>
      <w:marLeft w:val="0"/>
      <w:marRight w:val="0"/>
      <w:marTop w:val="0"/>
      <w:marBottom w:val="0"/>
      <w:divBdr>
        <w:top w:val="none" w:sz="0" w:space="0" w:color="auto"/>
        <w:left w:val="none" w:sz="0" w:space="0" w:color="auto"/>
        <w:bottom w:val="none" w:sz="0" w:space="0" w:color="auto"/>
        <w:right w:val="none" w:sz="0" w:space="0" w:color="auto"/>
      </w:divBdr>
    </w:div>
    <w:div w:id="1239245411">
      <w:bodyDiv w:val="1"/>
      <w:marLeft w:val="0"/>
      <w:marRight w:val="0"/>
      <w:marTop w:val="0"/>
      <w:marBottom w:val="0"/>
      <w:divBdr>
        <w:top w:val="none" w:sz="0" w:space="0" w:color="auto"/>
        <w:left w:val="none" w:sz="0" w:space="0" w:color="auto"/>
        <w:bottom w:val="none" w:sz="0" w:space="0" w:color="auto"/>
        <w:right w:val="none" w:sz="0" w:space="0" w:color="auto"/>
      </w:divBdr>
    </w:div>
    <w:div w:id="1414011251">
      <w:bodyDiv w:val="1"/>
      <w:marLeft w:val="0"/>
      <w:marRight w:val="0"/>
      <w:marTop w:val="0"/>
      <w:marBottom w:val="0"/>
      <w:divBdr>
        <w:top w:val="none" w:sz="0" w:space="0" w:color="auto"/>
        <w:left w:val="none" w:sz="0" w:space="0" w:color="auto"/>
        <w:bottom w:val="none" w:sz="0" w:space="0" w:color="auto"/>
        <w:right w:val="none" w:sz="0" w:space="0" w:color="auto"/>
      </w:divBdr>
    </w:div>
    <w:div w:id="1766416841">
      <w:bodyDiv w:val="1"/>
      <w:marLeft w:val="0"/>
      <w:marRight w:val="0"/>
      <w:marTop w:val="0"/>
      <w:marBottom w:val="0"/>
      <w:divBdr>
        <w:top w:val="none" w:sz="0" w:space="0" w:color="auto"/>
        <w:left w:val="none" w:sz="0" w:space="0" w:color="auto"/>
        <w:bottom w:val="none" w:sz="0" w:space="0" w:color="auto"/>
        <w:right w:val="none" w:sz="0" w:space="0" w:color="auto"/>
      </w:divBdr>
    </w:div>
    <w:div w:id="1844926790">
      <w:bodyDiv w:val="1"/>
      <w:marLeft w:val="0"/>
      <w:marRight w:val="0"/>
      <w:marTop w:val="0"/>
      <w:marBottom w:val="0"/>
      <w:divBdr>
        <w:top w:val="none" w:sz="0" w:space="0" w:color="auto"/>
        <w:left w:val="none" w:sz="0" w:space="0" w:color="auto"/>
        <w:bottom w:val="none" w:sz="0" w:space="0" w:color="auto"/>
        <w:right w:val="none" w:sz="0" w:space="0" w:color="auto"/>
      </w:divBdr>
    </w:div>
    <w:div w:id="2141412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microsoft.com/office/2007/relationships/hdphoto" Target="media/hdphoto2.wdp"/><Relationship Id="rId17" Type="http://schemas.openxmlformats.org/officeDocument/2006/relationships/hyperlink" Target="https://www.mdpi.com/2673-964X/3/3/13" TargetMode="External"/><Relationship Id="rId2" Type="http://schemas.openxmlformats.org/officeDocument/2006/relationships/customXml" Target="../customXml/item2.xml"/><Relationship Id="rId16" Type="http://schemas.microsoft.com/office/2007/relationships/hdphoto" Target="media/hdphoto4.wdp"/><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4.png"/><Relationship Id="rId10" Type="http://schemas.microsoft.com/office/2007/relationships/hdphoto" Target="media/hdphoto1.wdp"/><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hdphoto" Target="media/hdphoto3.wdp"/></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axuHYiExxLf+MYLL2c2qjXo3Cw==">CgMxLjA4AHIZaWQ6S2o3N2x6Y0p0TlVBQUFBQUFBREgwQQ==</go:docsCustomData>
</go:gDocsCustomXmlDataStorage>
</file>

<file path=customXml/itemProps1.xml><?xml version="1.0" encoding="utf-8"?>
<ds:datastoreItem xmlns:ds="http://schemas.openxmlformats.org/officeDocument/2006/customXml" ds:itemID="{436E8EE4-3516-495F-919D-53B6C1CFB28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737</Words>
  <Characters>3984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2</cp:revision>
  <cp:lastPrinted>2024-02-22T16:48:00Z</cp:lastPrinted>
  <dcterms:created xsi:type="dcterms:W3CDTF">2024-02-23T14:16:00Z</dcterms:created>
  <dcterms:modified xsi:type="dcterms:W3CDTF">2024-02-23T14:16:00Z</dcterms:modified>
</cp:coreProperties>
</file>