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11C33" w:rsidRDefault="00611C33" w:rsidP="00611C33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611C33" w:rsidRDefault="00611C33" w:rsidP="00611C33">
      <w:pPr>
        <w:rPr>
          <w:rFonts w:ascii="Tahoma" w:eastAsia="Tahoma" w:hAnsi="Tahoma" w:cs="Tahoma"/>
          <w:b/>
        </w:rPr>
      </w:pPr>
    </w:p>
    <w:p w:rsidR="00611C33" w:rsidRDefault="00611C33" w:rsidP="00611C33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  <w:r>
        <w:rPr>
          <w:rFonts w:ascii="Tahoma" w:eastAsia="Tahoma" w:hAnsi="Tahoma" w:cs="Tahoma"/>
        </w:rPr>
        <w:t xml:space="preserve">                   </w:t>
      </w:r>
    </w:p>
    <w:p w:rsidR="00611C33" w:rsidRDefault="00611C33" w:rsidP="00611C33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611C33" w:rsidRDefault="00611C33" w:rsidP="00611C33">
      <w:pPr>
        <w:jc w:val="center"/>
        <w:rPr>
          <w:rFonts w:ascii="Tahoma" w:eastAsia="Tahoma" w:hAnsi="Tahoma" w:cs="Tahoma"/>
        </w:rPr>
      </w:pPr>
    </w:p>
    <w:p w:rsidR="00611C33" w:rsidRPr="00864CFC" w:rsidRDefault="00611C33" w:rsidP="00611C33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Modifica o </w:t>
      </w:r>
      <w:r w:rsidR="00DB0212">
        <w:rPr>
          <w:rFonts w:ascii="Tahoma" w:eastAsia="Tahoma" w:hAnsi="Tahoma" w:cs="Tahoma"/>
          <w:b/>
          <w:sz w:val="22"/>
          <w:szCs w:val="22"/>
        </w:rPr>
        <w:t xml:space="preserve">gabarito da sub-região Icaraí, conforme o </w:t>
      </w:r>
      <w:r w:rsidR="005333A6">
        <w:rPr>
          <w:rFonts w:ascii="Tahoma" w:eastAsia="Tahoma" w:hAnsi="Tahoma" w:cs="Tahoma"/>
          <w:b/>
          <w:sz w:val="22"/>
          <w:szCs w:val="22"/>
        </w:rPr>
        <w:t xml:space="preserve">QUADRO </w:t>
      </w:r>
      <w:proofErr w:type="spellStart"/>
      <w:r w:rsidR="005333A6">
        <w:rPr>
          <w:rFonts w:ascii="Tahoma" w:eastAsia="Tahoma" w:hAnsi="Tahoma" w:cs="Tahoma"/>
          <w:b/>
          <w:sz w:val="22"/>
          <w:szCs w:val="22"/>
        </w:rPr>
        <w:t>III.a</w:t>
      </w:r>
      <w:proofErr w:type="spellEnd"/>
      <w:r w:rsidRPr="00864CFC">
        <w:rPr>
          <w:rFonts w:ascii="Tahoma" w:eastAsia="Tahoma" w:hAnsi="Tahoma" w:cs="Tahoma"/>
          <w:b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 Projeto de Lei Nº 221/2023, L</w:t>
      </w:r>
      <w:r w:rsidRPr="00864CFC">
        <w:rPr>
          <w:rFonts w:ascii="Tahoma" w:eastAsia="Tahoma" w:hAnsi="Tahoma" w:cs="Tahoma"/>
          <w:sz w:val="22"/>
          <w:szCs w:val="22"/>
        </w:rPr>
        <w:t xml:space="preserve">ei </w:t>
      </w:r>
      <w:r>
        <w:rPr>
          <w:rFonts w:ascii="Tahoma" w:eastAsia="Tahoma" w:hAnsi="Tahoma" w:cs="Tahoma"/>
          <w:sz w:val="22"/>
          <w:szCs w:val="22"/>
        </w:rPr>
        <w:t>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611C33" w:rsidRPr="00864CFC" w:rsidRDefault="00611C33" w:rsidP="00611C33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611C33" w:rsidRDefault="00611C33" w:rsidP="00611C3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Art.1º -</w:t>
      </w:r>
      <w:r w:rsidR="005333A6">
        <w:rPr>
          <w:rFonts w:ascii="Tahoma" w:eastAsia="Tahoma" w:hAnsi="Tahoma" w:cs="Tahoma"/>
          <w:b/>
          <w:sz w:val="22"/>
          <w:szCs w:val="22"/>
        </w:rPr>
        <w:t xml:space="preserve"> Modifica</w:t>
      </w:r>
      <w:r w:rsidRPr="00864CFC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5333A6" w:rsidRPr="00864CFC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DB0212">
        <w:rPr>
          <w:rFonts w:ascii="Tahoma" w:eastAsia="Tahoma" w:hAnsi="Tahoma" w:cs="Tahoma"/>
          <w:b/>
          <w:sz w:val="22"/>
          <w:szCs w:val="22"/>
        </w:rPr>
        <w:t xml:space="preserve">gabarito da sub-região Icaraí, conforme o QUADRO </w:t>
      </w:r>
      <w:proofErr w:type="spellStart"/>
      <w:r w:rsidR="00DB0212">
        <w:rPr>
          <w:rFonts w:ascii="Tahoma" w:eastAsia="Tahoma" w:hAnsi="Tahoma" w:cs="Tahoma"/>
          <w:b/>
          <w:sz w:val="22"/>
          <w:szCs w:val="22"/>
        </w:rPr>
        <w:t>III.a</w:t>
      </w:r>
      <w:proofErr w:type="spellEnd"/>
      <w:r w:rsidR="00DB0212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sz w:val="22"/>
          <w:szCs w:val="22"/>
        </w:rPr>
        <w:t xml:space="preserve">, </w:t>
      </w:r>
      <w:r w:rsidRPr="007C2CE3">
        <w:rPr>
          <w:rFonts w:ascii="Tahoma" w:eastAsia="Tahoma" w:hAnsi="Tahoma" w:cs="Tahoma"/>
          <w:b/>
          <w:sz w:val="22"/>
          <w:szCs w:val="22"/>
        </w:rPr>
        <w:t>alterando o gabarito d</w:t>
      </w:r>
      <w:r w:rsidR="005333A6" w:rsidRPr="007C2CE3">
        <w:rPr>
          <w:rFonts w:ascii="Tahoma" w:eastAsia="Tahoma" w:hAnsi="Tahoma" w:cs="Tahoma"/>
          <w:b/>
          <w:sz w:val="22"/>
          <w:szCs w:val="22"/>
        </w:rPr>
        <w:t>e toda sub-região</w:t>
      </w:r>
      <w:r w:rsidR="005333A6" w:rsidRPr="005333A6">
        <w:rPr>
          <w:rFonts w:ascii="Tahoma" w:eastAsia="Tahoma" w:hAnsi="Tahoma" w:cs="Tahoma"/>
          <w:sz w:val="22"/>
          <w:szCs w:val="22"/>
        </w:rPr>
        <w:t xml:space="preserve"> </w:t>
      </w:r>
      <w:r w:rsidR="005333A6" w:rsidRPr="005333A6">
        <w:rPr>
          <w:rFonts w:ascii="Tahoma" w:eastAsia="Tahoma" w:hAnsi="Tahoma" w:cs="Tahoma"/>
          <w:b/>
          <w:sz w:val="22"/>
          <w:szCs w:val="22"/>
        </w:rPr>
        <w:t xml:space="preserve">Icaraí </w:t>
      </w:r>
      <w:r w:rsidR="005333A6" w:rsidRPr="00A55FA0">
        <w:rPr>
          <w:rFonts w:ascii="Tahoma" w:eastAsia="Tahoma" w:hAnsi="Tahoma" w:cs="Tahoma"/>
          <w:sz w:val="22"/>
          <w:szCs w:val="22"/>
        </w:rPr>
        <w:t>para 02 pavimentos de embasamento + 06 pavimentos de lâmina</w:t>
      </w:r>
      <w:r w:rsidR="005333A6">
        <w:rPr>
          <w:rFonts w:ascii="Tahoma" w:eastAsia="Tahoma" w:hAnsi="Tahoma" w:cs="Tahoma"/>
          <w:sz w:val="22"/>
          <w:szCs w:val="22"/>
        </w:rPr>
        <w:t xml:space="preserve">, perfazendo um </w:t>
      </w:r>
      <w:r w:rsidR="005333A6" w:rsidRPr="00A55FA0">
        <w:rPr>
          <w:rFonts w:ascii="Tahoma" w:eastAsia="Tahoma" w:hAnsi="Tahoma" w:cs="Tahoma"/>
          <w:b/>
          <w:sz w:val="22"/>
          <w:szCs w:val="22"/>
        </w:rPr>
        <w:t>total de 08 pavimentos</w:t>
      </w:r>
      <w:r w:rsidR="005333A6">
        <w:rPr>
          <w:rFonts w:ascii="Tahoma" w:eastAsia="Tahoma" w:hAnsi="Tahoma" w:cs="Tahoma"/>
          <w:sz w:val="22"/>
          <w:szCs w:val="22"/>
        </w:rPr>
        <w:t xml:space="preserve">, </w:t>
      </w:r>
      <w:r w:rsidR="005333A6" w:rsidRPr="00A55FA0">
        <w:rPr>
          <w:rFonts w:ascii="Tahoma" w:eastAsia="Tahoma" w:hAnsi="Tahoma" w:cs="Tahoma"/>
          <w:sz w:val="22"/>
          <w:szCs w:val="22"/>
        </w:rPr>
        <w:t xml:space="preserve">ou menos quando assim </w:t>
      </w:r>
      <w:r w:rsidR="00DB0212" w:rsidRPr="00A55FA0">
        <w:rPr>
          <w:rFonts w:ascii="Tahoma" w:eastAsia="Tahoma" w:hAnsi="Tahoma" w:cs="Tahoma"/>
          <w:sz w:val="22"/>
          <w:szCs w:val="22"/>
        </w:rPr>
        <w:t>a proposta do PL 221/2023</w:t>
      </w:r>
      <w:r w:rsidR="005333A6" w:rsidRPr="00A55FA0">
        <w:rPr>
          <w:rFonts w:ascii="Tahoma" w:eastAsia="Tahoma" w:hAnsi="Tahoma" w:cs="Tahoma"/>
          <w:sz w:val="22"/>
          <w:szCs w:val="22"/>
        </w:rPr>
        <w:t xml:space="preserve"> definir</w:t>
      </w:r>
      <w:r w:rsidR="00DB0212">
        <w:rPr>
          <w:rFonts w:ascii="Tahoma" w:eastAsia="Tahoma" w:hAnsi="Tahoma" w:cs="Tahoma"/>
          <w:sz w:val="22"/>
          <w:szCs w:val="22"/>
        </w:rPr>
        <w:t>. A</w:t>
      </w:r>
      <w:r w:rsidR="007C2CE3">
        <w:rPr>
          <w:rFonts w:ascii="Tahoma" w:eastAsia="Tahoma" w:hAnsi="Tahoma" w:cs="Tahoma"/>
          <w:sz w:val="22"/>
          <w:szCs w:val="22"/>
        </w:rPr>
        <w:t xml:space="preserve"> exceção de ambas as </w:t>
      </w:r>
      <w:r w:rsidR="007C2CE3" w:rsidRPr="007C2CE3">
        <w:rPr>
          <w:rFonts w:ascii="Tahoma" w:eastAsia="Tahoma" w:hAnsi="Tahoma" w:cs="Tahoma"/>
          <w:b/>
          <w:sz w:val="22"/>
          <w:szCs w:val="22"/>
        </w:rPr>
        <w:t>ZEU+15</w:t>
      </w:r>
      <w:r w:rsidR="007C2CE3">
        <w:rPr>
          <w:rFonts w:ascii="Tahoma" w:eastAsia="Tahoma" w:hAnsi="Tahoma" w:cs="Tahoma"/>
          <w:sz w:val="22"/>
          <w:szCs w:val="22"/>
        </w:rPr>
        <w:t xml:space="preserve"> que constam na </w:t>
      </w:r>
      <w:r w:rsidR="007C2CE3" w:rsidRPr="007C2CE3">
        <w:rPr>
          <w:rFonts w:ascii="Tahoma" w:eastAsia="Tahoma" w:hAnsi="Tahoma" w:cs="Tahoma"/>
          <w:b/>
          <w:sz w:val="22"/>
          <w:szCs w:val="22"/>
        </w:rPr>
        <w:t>avenida Roberto Silveira</w:t>
      </w:r>
      <w:r w:rsidR="007C2CE3">
        <w:rPr>
          <w:rFonts w:ascii="Tahoma" w:eastAsia="Tahoma" w:hAnsi="Tahoma" w:cs="Tahoma"/>
          <w:sz w:val="22"/>
          <w:szCs w:val="22"/>
        </w:rPr>
        <w:t xml:space="preserve">, tendo o gabarito modificado para </w:t>
      </w:r>
      <w:r w:rsidR="007C2CE3" w:rsidRPr="007C2CE3">
        <w:rPr>
          <w:rFonts w:ascii="Tahoma" w:eastAsia="Tahoma" w:hAnsi="Tahoma" w:cs="Tahoma"/>
          <w:b/>
          <w:sz w:val="22"/>
          <w:szCs w:val="22"/>
        </w:rPr>
        <w:t>ZEU+9</w:t>
      </w:r>
      <w:r w:rsidR="007C2CE3">
        <w:rPr>
          <w:rFonts w:ascii="Tahoma" w:eastAsia="Tahoma" w:hAnsi="Tahoma" w:cs="Tahoma"/>
          <w:b/>
          <w:sz w:val="22"/>
          <w:szCs w:val="22"/>
        </w:rPr>
        <w:t xml:space="preserve"> (03 pavimentos de embasamento + 09 pavimentos de lâmina, perfazendo um total de 12 pavimentos)</w:t>
      </w:r>
      <w:r w:rsidR="007C2CE3">
        <w:rPr>
          <w:rFonts w:ascii="Tahoma" w:eastAsia="Tahoma" w:hAnsi="Tahoma" w:cs="Tahoma"/>
          <w:sz w:val="22"/>
          <w:szCs w:val="22"/>
        </w:rPr>
        <w:t>.</w:t>
      </w:r>
    </w:p>
    <w:p w:rsidR="007C2CE3" w:rsidRDefault="007C2CE3" w:rsidP="00611C3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C2CE3" w:rsidRDefault="007C2CE3" w:rsidP="00611C3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Assim, a sub-região Icaraí passa a constar com o seguinte gabarito</w:t>
      </w:r>
      <w:r w:rsidR="00D0404D">
        <w:rPr>
          <w:rFonts w:ascii="Tahoma" w:eastAsia="Tahoma" w:hAnsi="Tahoma" w:cs="Tahoma"/>
          <w:sz w:val="22"/>
          <w:szCs w:val="22"/>
        </w:rPr>
        <w:t xml:space="preserve"> e conforme imagem abaixo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7C2CE3" w:rsidRDefault="00544CE5" w:rsidP="007C2CE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ZUM+10 passa a constar como </w:t>
      </w:r>
      <w:r w:rsidRPr="00A847D3">
        <w:rPr>
          <w:rFonts w:ascii="Tahoma" w:eastAsia="Tahoma" w:hAnsi="Tahoma" w:cs="Tahoma"/>
          <w:b/>
          <w:sz w:val="22"/>
          <w:szCs w:val="22"/>
        </w:rPr>
        <w:t>ZUM+6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611C33" w:rsidRDefault="00544CE5" w:rsidP="00E842ED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ZCM+14 passa a constar </w:t>
      </w:r>
      <w:r w:rsidR="00CC754C">
        <w:rPr>
          <w:rFonts w:ascii="Tahoma" w:eastAsia="Tahoma" w:hAnsi="Tahoma" w:cs="Tahoma"/>
          <w:sz w:val="22"/>
          <w:szCs w:val="22"/>
        </w:rPr>
        <w:t xml:space="preserve">como </w:t>
      </w:r>
      <w:r w:rsidRPr="00A847D3">
        <w:rPr>
          <w:rFonts w:ascii="Tahoma" w:eastAsia="Tahoma" w:hAnsi="Tahoma" w:cs="Tahoma"/>
          <w:b/>
          <w:sz w:val="22"/>
          <w:szCs w:val="22"/>
        </w:rPr>
        <w:t>ZCM+6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CC754C" w:rsidRDefault="00CC754C" w:rsidP="00E842ED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ZC+11 passa a constar como </w:t>
      </w:r>
      <w:r w:rsidRPr="00A847D3">
        <w:rPr>
          <w:rFonts w:ascii="Tahoma" w:eastAsia="Tahoma" w:hAnsi="Tahoma" w:cs="Tahoma"/>
          <w:b/>
          <w:sz w:val="22"/>
          <w:szCs w:val="22"/>
        </w:rPr>
        <w:t>ZC+6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CC754C" w:rsidRDefault="00CC754C" w:rsidP="00E842ED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ZUM+14 passa a constar como </w:t>
      </w:r>
      <w:r w:rsidRPr="00A847D3">
        <w:rPr>
          <w:rFonts w:ascii="Tahoma" w:eastAsia="Tahoma" w:hAnsi="Tahoma" w:cs="Tahoma"/>
          <w:b/>
          <w:sz w:val="22"/>
          <w:szCs w:val="22"/>
        </w:rPr>
        <w:t>ZUM+6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CC754C" w:rsidRDefault="00CC754C" w:rsidP="00E842ED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 ZUM+6 continua constando como tal;</w:t>
      </w:r>
    </w:p>
    <w:p w:rsidR="00A847D3" w:rsidRDefault="00CC754C" w:rsidP="00E842ED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 ZEPAC-APAU Santa</w:t>
      </w:r>
      <w:r w:rsidR="00A847D3">
        <w:rPr>
          <w:rFonts w:ascii="Tahoma" w:eastAsia="Tahoma" w:hAnsi="Tahoma" w:cs="Tahoma"/>
          <w:sz w:val="22"/>
          <w:szCs w:val="22"/>
        </w:rPr>
        <w:t xml:space="preserve"> Thereza continua constando com gabarito máximo de 02 pavimentos;</w:t>
      </w:r>
    </w:p>
    <w:p w:rsidR="00A847D3" w:rsidRDefault="00A847D3" w:rsidP="00E842ED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 ZUM+3 continua constando como tal;</w:t>
      </w:r>
    </w:p>
    <w:p w:rsidR="00506092" w:rsidRDefault="00506092" w:rsidP="00E842ED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ZRM+9 passa a constar como </w:t>
      </w:r>
      <w:r w:rsidRPr="00506092">
        <w:rPr>
          <w:rFonts w:ascii="Tahoma" w:eastAsia="Tahoma" w:hAnsi="Tahoma" w:cs="Tahoma"/>
          <w:b/>
          <w:sz w:val="22"/>
          <w:szCs w:val="22"/>
        </w:rPr>
        <w:t>ZRM+6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9E09E6" w:rsidRPr="00DB0212" w:rsidRDefault="00A847D3" w:rsidP="0052229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B0212">
        <w:rPr>
          <w:rFonts w:ascii="Tahoma" w:eastAsia="Tahoma" w:hAnsi="Tahoma" w:cs="Tahoma"/>
          <w:sz w:val="22"/>
          <w:szCs w:val="22"/>
        </w:rPr>
        <w:t xml:space="preserve">A ZEU+15 passa a constar como </w:t>
      </w:r>
      <w:r w:rsidRPr="00DB0212">
        <w:rPr>
          <w:rFonts w:ascii="Tahoma" w:eastAsia="Tahoma" w:hAnsi="Tahoma" w:cs="Tahoma"/>
          <w:b/>
          <w:sz w:val="22"/>
          <w:szCs w:val="22"/>
        </w:rPr>
        <w:t>Z</w:t>
      </w:r>
      <w:r w:rsidR="00D0404D" w:rsidRPr="00DB0212">
        <w:rPr>
          <w:rFonts w:ascii="Tahoma" w:eastAsia="Tahoma" w:hAnsi="Tahoma" w:cs="Tahoma"/>
          <w:b/>
          <w:sz w:val="22"/>
          <w:szCs w:val="22"/>
        </w:rPr>
        <w:t>EU</w:t>
      </w:r>
      <w:r w:rsidRPr="00DB0212">
        <w:rPr>
          <w:rFonts w:ascii="Tahoma" w:eastAsia="Tahoma" w:hAnsi="Tahoma" w:cs="Tahoma"/>
          <w:b/>
          <w:sz w:val="22"/>
          <w:szCs w:val="22"/>
        </w:rPr>
        <w:t>+9</w:t>
      </w:r>
      <w:r w:rsidRPr="00DB0212">
        <w:rPr>
          <w:rFonts w:ascii="Tahoma" w:eastAsia="Tahoma" w:hAnsi="Tahoma" w:cs="Tahoma"/>
          <w:sz w:val="22"/>
          <w:szCs w:val="22"/>
        </w:rPr>
        <w:t>.</w:t>
      </w:r>
      <w:r w:rsidR="00CC754C" w:rsidRPr="00DB0212">
        <w:rPr>
          <w:rFonts w:ascii="Tahoma" w:eastAsia="Tahoma" w:hAnsi="Tahoma" w:cs="Tahoma"/>
          <w:sz w:val="22"/>
          <w:szCs w:val="22"/>
        </w:rPr>
        <w:t xml:space="preserve"> </w:t>
      </w:r>
    </w:p>
    <w:p w:rsidR="009E09E6" w:rsidRDefault="00DB0212" w:rsidP="00D2505E">
      <w:pPr>
        <w:pStyle w:val="PargrafodaLista"/>
        <w:ind w:left="0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261504" cy="4533265"/>
            <wp:effectExtent l="0" t="0" r="6350" b="635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OSSA PROPOSTA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307"/>
                    <a:stretch/>
                  </pic:blipFill>
                  <pic:spPr bwMode="auto">
                    <a:xfrm>
                      <a:off x="0" y="0"/>
                      <a:ext cx="6270593" cy="4539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43FD" w:rsidRDefault="00D2505E" w:rsidP="00B043FD">
      <w:pPr>
        <w:ind w:left="142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Gabarito proposto para a sub-região Icaraí por esta emenda</w:t>
      </w:r>
      <w:r w:rsidR="00B043FD" w:rsidRPr="00B043FD">
        <w:rPr>
          <w:rFonts w:ascii="Tahoma" w:eastAsia="Tahoma" w:hAnsi="Tahoma" w:cs="Tahoma"/>
          <w:sz w:val="18"/>
          <w:szCs w:val="18"/>
        </w:rPr>
        <w:t xml:space="preserve"> </w:t>
      </w:r>
      <w:r w:rsidR="00B043FD">
        <w:rPr>
          <w:rFonts w:ascii="Tahoma" w:eastAsia="Tahoma" w:hAnsi="Tahoma" w:cs="Tahoma"/>
          <w:sz w:val="18"/>
          <w:szCs w:val="18"/>
        </w:rPr>
        <w:t xml:space="preserve">onde, entre parênteses é informado o número total de pavimentos permitido. </w:t>
      </w:r>
    </w:p>
    <w:p w:rsidR="00D2505E" w:rsidRPr="00700DC2" w:rsidRDefault="00D2505E" w:rsidP="00D2505E">
      <w:pPr>
        <w:ind w:left="142"/>
        <w:jc w:val="center"/>
        <w:rPr>
          <w:rFonts w:ascii="Tahoma" w:eastAsia="Tahoma" w:hAnsi="Tahoma" w:cs="Tahoma"/>
          <w:sz w:val="18"/>
          <w:szCs w:val="18"/>
        </w:rPr>
      </w:pPr>
    </w:p>
    <w:p w:rsidR="00B54E22" w:rsidRDefault="00B54E22" w:rsidP="00D2505E">
      <w:pPr>
        <w:pStyle w:val="PargrafodaLista"/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DB0212" w:rsidRDefault="00DB0212" w:rsidP="00B54E22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B0212" w:rsidRPr="00544CE5" w:rsidRDefault="00DB0212" w:rsidP="00B54E22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44FB4" w:rsidRDefault="00244FB4" w:rsidP="00DB0212">
      <w:pPr>
        <w:spacing w:line="360" w:lineRule="auto"/>
        <w:jc w:val="right"/>
        <w:rPr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20</w:t>
      </w:r>
      <w:r w:rsidRPr="00864CFC">
        <w:rPr>
          <w:rFonts w:ascii="Tahoma" w:eastAsia="Tahoma" w:hAnsi="Tahoma" w:cs="Tahoma"/>
          <w:sz w:val="22"/>
          <w:szCs w:val="22"/>
        </w:rPr>
        <w:t xml:space="preserve"> de fevereiro de 2024.</w:t>
      </w:r>
    </w:p>
    <w:p w:rsidR="00244FB4" w:rsidRDefault="00244FB4" w:rsidP="00244FB4">
      <w:pPr>
        <w:spacing w:line="360" w:lineRule="auto"/>
        <w:jc w:val="both"/>
        <w:rPr>
          <w:sz w:val="22"/>
          <w:szCs w:val="22"/>
        </w:rPr>
      </w:pPr>
    </w:p>
    <w:p w:rsidR="00244FB4" w:rsidRDefault="00244FB4" w:rsidP="00244FB4">
      <w:pPr>
        <w:spacing w:line="360" w:lineRule="auto"/>
        <w:jc w:val="both"/>
        <w:rPr>
          <w:sz w:val="22"/>
          <w:szCs w:val="22"/>
        </w:rPr>
      </w:pPr>
    </w:p>
    <w:p w:rsidR="00DB0212" w:rsidRDefault="00DB0212" w:rsidP="00244FB4">
      <w:pPr>
        <w:spacing w:line="360" w:lineRule="auto"/>
        <w:jc w:val="both"/>
        <w:rPr>
          <w:sz w:val="22"/>
          <w:szCs w:val="22"/>
        </w:rPr>
      </w:pPr>
    </w:p>
    <w:p w:rsidR="00244FB4" w:rsidRPr="00864CFC" w:rsidRDefault="00244FB4" w:rsidP="00244FB4">
      <w:pPr>
        <w:spacing w:line="360" w:lineRule="auto"/>
        <w:jc w:val="both"/>
        <w:rPr>
          <w:sz w:val="22"/>
          <w:szCs w:val="22"/>
        </w:rPr>
      </w:pPr>
    </w:p>
    <w:p w:rsidR="00244FB4" w:rsidRPr="00864CFC" w:rsidRDefault="00244FB4" w:rsidP="00244FB4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244FB4" w:rsidRPr="00864CFC" w:rsidRDefault="00244FB4" w:rsidP="00244FB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244FB4" w:rsidRDefault="00244FB4" w:rsidP="00244FB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244FB4" w:rsidRDefault="00244FB4" w:rsidP="00244FB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B0212" w:rsidRDefault="00DB0212" w:rsidP="00244FB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244FB4" w:rsidRPr="00864CFC" w:rsidRDefault="00244FB4" w:rsidP="00244FB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244FB4" w:rsidRPr="00244FB4" w:rsidRDefault="00244FB4" w:rsidP="00E842ED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DC30F3" w:rsidRDefault="00E842ED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</w:t>
      </w:r>
      <w:r w:rsidRPr="00D36CA0">
        <w:rPr>
          <w:rFonts w:ascii="Tahoma" w:eastAsia="Tahoma" w:hAnsi="Tahoma" w:cs="Tahoma"/>
          <w:b/>
          <w:sz w:val="22"/>
          <w:szCs w:val="22"/>
        </w:rPr>
        <w:t>censo demográfico de 2022</w:t>
      </w:r>
      <w:r>
        <w:rPr>
          <w:rFonts w:ascii="Tahoma" w:eastAsia="Tahoma" w:hAnsi="Tahoma" w:cs="Tahoma"/>
          <w:sz w:val="22"/>
          <w:szCs w:val="22"/>
        </w:rPr>
        <w:t xml:space="preserve"> que corrobora com a pr</w:t>
      </w:r>
      <w:r w:rsidR="009030FA">
        <w:rPr>
          <w:rFonts w:ascii="Tahoma" w:eastAsia="Tahoma" w:hAnsi="Tahoma" w:cs="Tahoma"/>
          <w:sz w:val="22"/>
          <w:szCs w:val="22"/>
        </w:rPr>
        <w:t>ojeção da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 w:rsidRPr="00D36CA0">
        <w:rPr>
          <w:rFonts w:ascii="Tahoma" w:eastAsia="Tahoma" w:hAnsi="Tahoma" w:cs="Tahoma"/>
          <w:b/>
          <w:sz w:val="22"/>
          <w:szCs w:val="22"/>
        </w:rPr>
        <w:t xml:space="preserve">diminuição </w:t>
      </w:r>
      <w:r w:rsidR="00D36CA0" w:rsidRPr="00D36CA0">
        <w:rPr>
          <w:rFonts w:ascii="Tahoma" w:eastAsia="Tahoma" w:hAnsi="Tahoma" w:cs="Tahoma"/>
          <w:b/>
          <w:sz w:val="22"/>
          <w:szCs w:val="22"/>
        </w:rPr>
        <w:t>da população</w:t>
      </w:r>
      <w:r>
        <w:rPr>
          <w:rFonts w:ascii="Tahoma" w:eastAsia="Tahoma" w:hAnsi="Tahoma" w:cs="Tahoma"/>
          <w:sz w:val="22"/>
          <w:szCs w:val="22"/>
        </w:rPr>
        <w:t xml:space="preserve"> no município </w:t>
      </w:r>
      <w:r w:rsidR="00D36CA0">
        <w:rPr>
          <w:rFonts w:ascii="Tahoma" w:eastAsia="Tahoma" w:hAnsi="Tahoma" w:cs="Tahoma"/>
          <w:sz w:val="22"/>
          <w:szCs w:val="22"/>
        </w:rPr>
        <w:t>de Niterói,</w:t>
      </w:r>
      <w:r>
        <w:rPr>
          <w:rFonts w:ascii="Tahoma" w:eastAsia="Tahoma" w:hAnsi="Tahoma" w:cs="Tahoma"/>
          <w:sz w:val="22"/>
          <w:szCs w:val="22"/>
        </w:rPr>
        <w:t xml:space="preserve"> apresentada n</w:t>
      </w:r>
      <w:r w:rsidR="00143A90"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 diagnóstico realizado pela Fundação Getúlio Vargas a fim de </w:t>
      </w:r>
      <w:r w:rsidRPr="00E842ED">
        <w:rPr>
          <w:rFonts w:ascii="Tahoma" w:eastAsia="Tahoma" w:hAnsi="Tahoma" w:cs="Tahoma"/>
          <w:sz w:val="22"/>
          <w:szCs w:val="22"/>
        </w:rPr>
        <w:t xml:space="preserve">orientar </w:t>
      </w:r>
      <w:r w:rsidR="00143A90">
        <w:rPr>
          <w:rFonts w:ascii="Tahoma" w:eastAsia="Tahoma" w:hAnsi="Tahoma" w:cs="Tahoma"/>
          <w:sz w:val="22"/>
          <w:szCs w:val="22"/>
        </w:rPr>
        <w:t>a elaboração</w:t>
      </w:r>
      <w:r w:rsidR="00D36CA0">
        <w:rPr>
          <w:rFonts w:ascii="Tahoma" w:eastAsia="Tahoma" w:hAnsi="Tahoma" w:cs="Tahoma"/>
          <w:sz w:val="22"/>
          <w:szCs w:val="22"/>
        </w:rPr>
        <w:t xml:space="preserve"> do Plano Diretor de 2019, não vemos outra explicação para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>a manutenção ou implementação de adensamento demográfico</w:t>
      </w:r>
      <w:r w:rsidR="00D36CA0">
        <w:rPr>
          <w:rFonts w:ascii="Tahoma" w:eastAsia="Tahoma" w:hAnsi="Tahoma" w:cs="Tahoma"/>
          <w:sz w:val="22"/>
          <w:szCs w:val="22"/>
        </w:rPr>
        <w:t xml:space="preserve"> proposto pelo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>Projeto de Lei 221/2023</w:t>
      </w:r>
      <w:r w:rsidR="00143A90">
        <w:rPr>
          <w:rFonts w:ascii="Tahoma" w:eastAsia="Tahoma" w:hAnsi="Tahoma" w:cs="Tahoma"/>
          <w:sz w:val="22"/>
          <w:szCs w:val="22"/>
        </w:rPr>
        <w:t>, se</w:t>
      </w:r>
      <w:r w:rsidR="00D36CA0">
        <w:rPr>
          <w:rFonts w:ascii="Tahoma" w:eastAsia="Tahoma" w:hAnsi="Tahoma" w:cs="Tahoma"/>
          <w:sz w:val="22"/>
          <w:szCs w:val="22"/>
        </w:rPr>
        <w:t xml:space="preserve"> não a </w:t>
      </w:r>
      <w:r w:rsidR="00DC30F3">
        <w:rPr>
          <w:rFonts w:ascii="Tahoma" w:eastAsia="Tahoma" w:hAnsi="Tahoma" w:cs="Tahoma"/>
          <w:sz w:val="22"/>
          <w:szCs w:val="22"/>
        </w:rPr>
        <w:t xml:space="preserve">promoção da </w:t>
      </w:r>
      <w:proofErr w:type="spellStart"/>
      <w:r w:rsidR="00DC30F3">
        <w:rPr>
          <w:rFonts w:ascii="Tahoma" w:eastAsia="Tahoma" w:hAnsi="Tahoma" w:cs="Tahoma"/>
          <w:sz w:val="22"/>
          <w:szCs w:val="22"/>
        </w:rPr>
        <w:t>financeirização</w:t>
      </w:r>
      <w:proofErr w:type="spellEnd"/>
      <w:r w:rsidR="00DC30F3">
        <w:rPr>
          <w:rFonts w:ascii="Tahoma" w:eastAsia="Tahoma" w:hAnsi="Tahoma" w:cs="Tahoma"/>
          <w:sz w:val="22"/>
          <w:szCs w:val="22"/>
        </w:rPr>
        <w:t xml:space="preserve"> da produção </w:t>
      </w:r>
      <w:r w:rsidR="007452F8">
        <w:rPr>
          <w:rFonts w:ascii="Tahoma" w:eastAsia="Tahoma" w:hAnsi="Tahoma" w:cs="Tahoma"/>
          <w:sz w:val="22"/>
          <w:szCs w:val="22"/>
        </w:rPr>
        <w:t>habitacional</w:t>
      </w:r>
      <w:r w:rsidR="00DC30F3">
        <w:rPr>
          <w:rFonts w:ascii="Tahoma" w:eastAsia="Tahoma" w:hAnsi="Tahoma" w:cs="Tahoma"/>
          <w:sz w:val="22"/>
          <w:szCs w:val="22"/>
        </w:rPr>
        <w:t xml:space="preserve"> </w:t>
      </w:r>
      <w:r w:rsidR="000B24DF">
        <w:rPr>
          <w:rFonts w:ascii="Tahoma" w:eastAsia="Tahoma" w:hAnsi="Tahoma" w:cs="Tahoma"/>
          <w:sz w:val="22"/>
          <w:szCs w:val="22"/>
        </w:rPr>
        <w:t xml:space="preserve">voltada para o </w:t>
      </w:r>
      <w:proofErr w:type="spellStart"/>
      <w:r w:rsidR="000B24DF">
        <w:rPr>
          <w:rFonts w:ascii="Tahoma" w:eastAsia="Tahoma" w:hAnsi="Tahoma" w:cs="Tahoma"/>
          <w:sz w:val="22"/>
          <w:szCs w:val="22"/>
        </w:rPr>
        <w:t>rentismo</w:t>
      </w:r>
      <w:proofErr w:type="spellEnd"/>
      <w:r w:rsidR="000B24DF">
        <w:rPr>
          <w:rFonts w:ascii="Tahoma" w:eastAsia="Tahoma" w:hAnsi="Tahoma" w:cs="Tahoma"/>
          <w:sz w:val="22"/>
          <w:szCs w:val="22"/>
        </w:rPr>
        <w:t xml:space="preserve"> e </w:t>
      </w:r>
      <w:r w:rsidR="007452F8">
        <w:rPr>
          <w:rFonts w:ascii="Tahoma" w:eastAsia="Tahoma" w:hAnsi="Tahoma" w:cs="Tahoma"/>
          <w:sz w:val="22"/>
          <w:szCs w:val="22"/>
        </w:rPr>
        <w:t xml:space="preserve">a </w:t>
      </w:r>
      <w:r w:rsidR="000B24DF">
        <w:rPr>
          <w:rFonts w:ascii="Tahoma" w:eastAsia="Tahoma" w:hAnsi="Tahoma" w:cs="Tahoma"/>
          <w:sz w:val="22"/>
          <w:szCs w:val="22"/>
        </w:rPr>
        <w:t>especulação imobiliária</w:t>
      </w:r>
      <w:r w:rsidR="00DC30F3">
        <w:rPr>
          <w:rFonts w:ascii="Tahoma" w:eastAsia="Tahoma" w:hAnsi="Tahoma" w:cs="Tahoma"/>
          <w:sz w:val="22"/>
          <w:szCs w:val="22"/>
        </w:rPr>
        <w:t>.</w:t>
      </w:r>
    </w:p>
    <w:p w:rsidR="00D23FEC" w:rsidRDefault="00D23FEC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Como cita o supracitado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</w:t>
      </w:r>
      <w:r>
        <w:rPr>
          <w:rFonts w:ascii="Tahoma" w:eastAsia="Tahoma" w:hAnsi="Tahoma" w:cs="Tahoma"/>
          <w:sz w:val="22"/>
          <w:szCs w:val="22"/>
        </w:rPr>
        <w:t xml:space="preserve"> realizado pela </w:t>
      </w:r>
      <w:r w:rsidRPr="00EC3278">
        <w:rPr>
          <w:rFonts w:ascii="Tahoma" w:eastAsia="Tahoma" w:hAnsi="Tahoma" w:cs="Tahoma"/>
          <w:b/>
          <w:sz w:val="22"/>
          <w:szCs w:val="22"/>
        </w:rPr>
        <w:t>FGV</w:t>
      </w:r>
      <w:r w:rsidR="00564C07">
        <w:rPr>
          <w:rFonts w:ascii="Tahoma" w:eastAsia="Tahoma" w:hAnsi="Tahoma" w:cs="Tahoma"/>
          <w:sz w:val="22"/>
          <w:szCs w:val="22"/>
        </w:rPr>
        <w:t xml:space="preserve"> em 2014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EC3278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="00EC3278">
        <w:rPr>
          <w:rFonts w:ascii="Tahoma" w:eastAsia="Tahoma" w:hAnsi="Tahoma" w:cs="Tahoma"/>
          <w:sz w:val="22"/>
          <w:szCs w:val="22"/>
        </w:rPr>
        <w:t xml:space="preserve">(...) </w:t>
      </w:r>
      <w:r w:rsidRPr="00DC30F3">
        <w:rPr>
          <w:rFonts w:ascii="Tahoma" w:eastAsia="Tahoma" w:hAnsi="Tahoma" w:cs="Tahoma"/>
          <w:sz w:val="22"/>
          <w:szCs w:val="22"/>
        </w:rPr>
        <w:t xml:space="preserve">a taxa de crescimento da população foi inferior à taxa de crescimento dos domicílios particulares, o que pode significar 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a existência de um estoque de moradias, </w:t>
      </w:r>
      <w:r w:rsidRPr="00564C07">
        <w:rPr>
          <w:rFonts w:ascii="Tahoma" w:eastAsia="Tahoma" w:hAnsi="Tahoma" w:cs="Tahoma"/>
          <w:sz w:val="22"/>
          <w:szCs w:val="22"/>
        </w:rPr>
        <w:t>em princípio não disponíveis a população de baixa renda,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 nas regiões que apresentam melhor padrão de renda</w:t>
      </w:r>
      <w:r w:rsidR="00564C07" w:rsidRPr="00564C07">
        <w:rPr>
          <w:rFonts w:ascii="Tahoma" w:eastAsia="Tahoma" w:hAnsi="Tahoma" w:cs="Tahoma"/>
          <w:sz w:val="22"/>
          <w:szCs w:val="22"/>
        </w:rPr>
        <w:t>”</w:t>
      </w:r>
      <w:r w:rsidRPr="00564C07">
        <w:rPr>
          <w:rFonts w:ascii="Tahoma" w:eastAsia="Tahoma" w:hAnsi="Tahoma" w:cs="Tahoma"/>
          <w:sz w:val="22"/>
          <w:szCs w:val="22"/>
        </w:rPr>
        <w:t>.</w:t>
      </w:r>
    </w:p>
    <w:p w:rsidR="00D23FEC" w:rsidRDefault="00D23FEC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C3278" w:rsidRDefault="00EC3278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 ainda segundo 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 técnico</w:t>
      </w:r>
      <w:r>
        <w:rPr>
          <w:rFonts w:ascii="Tahoma" w:eastAsia="Tahoma" w:hAnsi="Tahoma" w:cs="Tahoma"/>
          <w:sz w:val="22"/>
          <w:szCs w:val="22"/>
        </w:rPr>
        <w:t xml:space="preserve"> elaborado em virtude do </w:t>
      </w:r>
      <w:r w:rsidRPr="00EC3278">
        <w:rPr>
          <w:rFonts w:ascii="Tahoma" w:eastAsia="Tahoma" w:hAnsi="Tahoma" w:cs="Tahoma"/>
          <w:b/>
          <w:sz w:val="22"/>
          <w:szCs w:val="22"/>
        </w:rPr>
        <w:t>Projeto de Lei de Uso e Ocupação do Solo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C3278">
        <w:rPr>
          <w:rFonts w:ascii="Tahoma" w:eastAsia="Tahoma" w:hAnsi="Tahoma" w:cs="Tahoma"/>
          <w:sz w:val="22"/>
          <w:szCs w:val="22"/>
        </w:rPr>
        <w:t xml:space="preserve">Nas </w:t>
      </w:r>
      <w:r w:rsidRPr="00EC3278">
        <w:rPr>
          <w:rFonts w:ascii="Tahoma" w:eastAsia="Tahoma" w:hAnsi="Tahoma" w:cs="Tahoma"/>
          <w:b/>
          <w:sz w:val="22"/>
          <w:szCs w:val="22"/>
        </w:rPr>
        <w:t>Praias da Baía</w:t>
      </w:r>
      <w:r w:rsidRPr="00EC3278">
        <w:rPr>
          <w:rFonts w:ascii="Tahoma" w:eastAsia="Tahoma" w:hAnsi="Tahoma" w:cs="Tahoma"/>
          <w:sz w:val="22"/>
          <w:szCs w:val="22"/>
        </w:rPr>
        <w:t xml:space="preserve"> vê-se a </w:t>
      </w:r>
      <w:r w:rsidRPr="00EC3278">
        <w:rPr>
          <w:rFonts w:ascii="Tahoma" w:eastAsia="Tahoma" w:hAnsi="Tahoma" w:cs="Tahoma"/>
          <w:b/>
          <w:sz w:val="22"/>
          <w:szCs w:val="22"/>
        </w:rPr>
        <w:t>expansão da verticalização</w:t>
      </w:r>
      <w:r w:rsidRPr="00EC3278">
        <w:rPr>
          <w:rFonts w:ascii="Tahoma" w:eastAsia="Tahoma" w:hAnsi="Tahoma" w:cs="Tahoma"/>
          <w:sz w:val="22"/>
          <w:szCs w:val="22"/>
        </w:rPr>
        <w:t>, com predomínio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 w:rsidRPr="00EC3278">
        <w:rPr>
          <w:rFonts w:ascii="Tahoma" w:eastAsia="Tahoma" w:hAnsi="Tahoma" w:cs="Tahoma"/>
          <w:sz w:val="22"/>
          <w:szCs w:val="22"/>
        </w:rPr>
        <w:t>de gabaritos entre 10 e 15 pavimentos em suas construções, gerando uma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 w:rsidRPr="00EC3278">
        <w:rPr>
          <w:rFonts w:ascii="Tahoma" w:eastAsia="Tahoma" w:hAnsi="Tahoma" w:cs="Tahoma"/>
          <w:sz w:val="22"/>
          <w:szCs w:val="22"/>
        </w:rPr>
        <w:t xml:space="preserve">ocupação densa e compacta </w:t>
      </w:r>
      <w:r w:rsidRPr="00EC3278">
        <w:rPr>
          <w:rFonts w:ascii="Tahoma" w:eastAsia="Tahoma" w:hAnsi="Tahoma" w:cs="Tahoma"/>
          <w:b/>
          <w:sz w:val="22"/>
          <w:szCs w:val="22"/>
        </w:rPr>
        <w:t>causando sobrecargas variadas sobre a infraestrutura disponível</w:t>
      </w:r>
      <w:r>
        <w:rPr>
          <w:rFonts w:ascii="Tahoma" w:eastAsia="Tahoma" w:hAnsi="Tahoma" w:cs="Tahoma"/>
          <w:sz w:val="22"/>
          <w:szCs w:val="22"/>
        </w:rPr>
        <w:t>”.</w:t>
      </w:r>
    </w:p>
    <w:p w:rsidR="00143A90" w:rsidRPr="00C76255" w:rsidRDefault="00143A90" w:rsidP="00C76255">
      <w:pPr>
        <w:jc w:val="center"/>
        <w:rPr>
          <w:rFonts w:ascii="Tahoma" w:eastAsia="Tahoma" w:hAnsi="Tahoma" w:cs="Tahoma"/>
          <w:b/>
          <w:sz w:val="18"/>
          <w:szCs w:val="18"/>
        </w:rPr>
      </w:pPr>
      <w:r w:rsidRPr="00601415">
        <w:rPr>
          <w:rFonts w:ascii="Tahoma" w:eastAsia="Tahoma" w:hAnsi="Tahoma" w:cs="Tahoma"/>
          <w:b/>
          <w:sz w:val="18"/>
          <w:szCs w:val="18"/>
        </w:rPr>
        <w:t xml:space="preserve">   </w:t>
      </w:r>
    </w:p>
    <w:p w:rsidR="003E4951" w:rsidRDefault="0010124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C</w:t>
      </w:r>
      <w:r w:rsidR="00E04E04">
        <w:rPr>
          <w:rFonts w:ascii="Tahoma" w:eastAsia="Tahoma" w:hAnsi="Tahoma" w:cs="Tahoma"/>
          <w:sz w:val="22"/>
          <w:szCs w:val="22"/>
        </w:rPr>
        <w:t xml:space="preserve">onforme a diretriz estabelecida pelo </w:t>
      </w:r>
      <w:r w:rsidR="00E04E04" w:rsidRPr="003E4951">
        <w:rPr>
          <w:rFonts w:ascii="Tahoma" w:eastAsia="Tahoma" w:hAnsi="Tahoma" w:cs="Tahoma"/>
          <w:b/>
          <w:sz w:val="22"/>
          <w:szCs w:val="22"/>
        </w:rPr>
        <w:t>Plano Diretor de 2019</w:t>
      </w:r>
      <w:r w:rsidR="00E04E04">
        <w:rPr>
          <w:rFonts w:ascii="Tahoma" w:eastAsia="Tahoma" w:hAnsi="Tahoma" w:cs="Tahoma"/>
          <w:sz w:val="22"/>
          <w:szCs w:val="22"/>
        </w:rPr>
        <w:t xml:space="preserve"> quanto à Macroárea de Urbanização Consolidada, onde: </w:t>
      </w:r>
    </w:p>
    <w:p w:rsidR="00D23FEC" w:rsidRDefault="00D23FEC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04E04">
        <w:rPr>
          <w:rFonts w:ascii="Tahoma" w:eastAsia="Tahoma" w:hAnsi="Tahoma" w:cs="Tahoma"/>
          <w:sz w:val="22"/>
          <w:szCs w:val="22"/>
        </w:rPr>
        <w:t xml:space="preserve">Art. 16. A </w:t>
      </w:r>
      <w:r w:rsidRPr="00E04E04">
        <w:rPr>
          <w:rFonts w:ascii="Tahoma" w:eastAsia="Tahoma" w:hAnsi="Tahoma" w:cs="Tahoma"/>
          <w:b/>
          <w:sz w:val="22"/>
          <w:szCs w:val="22"/>
        </w:rPr>
        <w:t>Macroárea de Urbanização Consolidada</w:t>
      </w:r>
      <w:r w:rsidRPr="00E04E04">
        <w:rPr>
          <w:rFonts w:ascii="Tahoma" w:eastAsia="Tahoma" w:hAnsi="Tahoma" w:cs="Tahoma"/>
          <w:sz w:val="22"/>
          <w:szCs w:val="22"/>
        </w:rPr>
        <w:t xml:space="preserve"> compreende as áreas de mais antiga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ocupação, </w:t>
      </w:r>
      <w:r>
        <w:rPr>
          <w:rFonts w:ascii="Tahoma" w:eastAsia="Tahoma" w:hAnsi="Tahoma" w:cs="Tahoma"/>
          <w:sz w:val="22"/>
          <w:szCs w:val="22"/>
        </w:rPr>
        <w:t xml:space="preserve">(...) </w:t>
      </w:r>
      <w:r w:rsidRPr="00E04E04">
        <w:rPr>
          <w:rFonts w:ascii="Tahoma" w:eastAsia="Tahoma" w:hAnsi="Tahoma" w:cs="Tahoma"/>
          <w:sz w:val="22"/>
          <w:szCs w:val="22"/>
        </w:rPr>
        <w:t>caracterizada pela relação de proximidade com o Centro, padrão elevado de urbanização, forte saturação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 w:rsidRPr="00E04E04">
        <w:rPr>
          <w:rFonts w:ascii="Tahoma" w:eastAsia="Tahoma" w:hAnsi="Tahoma" w:cs="Tahoma"/>
          <w:sz w:val="22"/>
          <w:szCs w:val="22"/>
        </w:rPr>
        <w:t>viária, diversidade de oportunidades de empregos e serviços e formada por bairros residenciais com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 w:rsidRPr="00E04E04">
        <w:rPr>
          <w:rFonts w:ascii="Tahoma" w:eastAsia="Tahoma" w:hAnsi="Tahoma" w:cs="Tahoma"/>
          <w:sz w:val="22"/>
          <w:szCs w:val="22"/>
        </w:rPr>
        <w:t>variada mescla de usos, sobretudo serviços e comércio</w:t>
      </w:r>
      <w:r>
        <w:rPr>
          <w:rFonts w:ascii="Tahoma" w:eastAsia="Tahoma" w:hAnsi="Tahoma" w:cs="Tahoma"/>
          <w:sz w:val="22"/>
          <w:szCs w:val="22"/>
        </w:rPr>
        <w:t xml:space="preserve"> 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§ 2º São </w:t>
      </w:r>
      <w:r w:rsidRPr="00E04E04">
        <w:rPr>
          <w:rFonts w:ascii="Tahoma" w:eastAsia="Tahoma" w:hAnsi="Tahoma" w:cs="Tahoma"/>
          <w:b/>
          <w:sz w:val="22"/>
          <w:szCs w:val="22"/>
        </w:rPr>
        <w:t>objetivos específicos da Macroárea da Urbanização Consolidada</w:t>
      </w:r>
      <w:r w:rsidRPr="00E04E04">
        <w:rPr>
          <w:rFonts w:ascii="Tahoma" w:eastAsia="Tahoma" w:hAnsi="Tahoma" w:cs="Tahoma"/>
          <w:sz w:val="22"/>
          <w:szCs w:val="22"/>
        </w:rPr>
        <w:t>:</w:t>
      </w:r>
    </w:p>
    <w:p w:rsidR="004C4F69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 – </w:t>
      </w:r>
      <w:r w:rsidRPr="00E04E04">
        <w:rPr>
          <w:rFonts w:ascii="Tahoma" w:eastAsia="Tahoma" w:hAnsi="Tahoma" w:cs="Tahoma"/>
          <w:b/>
          <w:sz w:val="22"/>
          <w:szCs w:val="22"/>
        </w:rPr>
        <w:t xml:space="preserve">controlar o processo de adensamento construtivo e da saturação viária, por meio da </w:t>
      </w:r>
      <w:r w:rsidRPr="00E04E04">
        <w:rPr>
          <w:rFonts w:ascii="Tahoma" w:eastAsia="Tahoma" w:hAnsi="Tahoma" w:cs="Tahoma"/>
          <w:b/>
          <w:sz w:val="22"/>
          <w:szCs w:val="22"/>
        </w:rPr>
        <w:lastRenderedPageBreak/>
        <w:t>revisão</w:t>
      </w:r>
      <w:r>
        <w:rPr>
          <w:rFonts w:ascii="Tahoma" w:eastAsia="Tahoma" w:hAnsi="Tahoma" w:cs="Tahoma"/>
          <w:b/>
          <w:sz w:val="22"/>
          <w:szCs w:val="22"/>
        </w:rPr>
        <w:t xml:space="preserve"> </w:t>
      </w:r>
      <w:r w:rsidRPr="00E04E04">
        <w:rPr>
          <w:rFonts w:ascii="Tahoma" w:eastAsia="Tahoma" w:hAnsi="Tahoma" w:cs="Tahoma"/>
          <w:b/>
          <w:sz w:val="22"/>
          <w:szCs w:val="22"/>
        </w:rPr>
        <w:t>do atual padrão de verticalização</w:t>
      </w:r>
      <w:r w:rsidRPr="00E04E04">
        <w:rPr>
          <w:rFonts w:ascii="Tahoma" w:eastAsia="Tahoma" w:hAnsi="Tahoma" w:cs="Tahoma"/>
          <w:sz w:val="22"/>
          <w:szCs w:val="22"/>
        </w:rPr>
        <w:t xml:space="preserve"> e dos afastamentos, introdução de parâmetros qualificadores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 w:rsidRPr="00E04E04">
        <w:rPr>
          <w:rFonts w:ascii="Tahoma" w:eastAsia="Tahoma" w:hAnsi="Tahoma" w:cs="Tahoma"/>
          <w:sz w:val="22"/>
          <w:szCs w:val="22"/>
        </w:rPr>
        <w:t>do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 w:rsidRPr="00E04E04">
        <w:rPr>
          <w:rFonts w:ascii="Tahoma" w:eastAsia="Tahoma" w:hAnsi="Tahoma" w:cs="Tahoma"/>
          <w:sz w:val="22"/>
          <w:szCs w:val="22"/>
        </w:rPr>
        <w:t>ambiente urbano e de acordo com as diretrizes de mobilidade urbana sustentável;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II – </w:t>
      </w:r>
      <w:r w:rsidRPr="00E04E04">
        <w:rPr>
          <w:rFonts w:ascii="Tahoma" w:eastAsia="Tahoma" w:hAnsi="Tahoma" w:cs="Tahoma"/>
          <w:b/>
          <w:sz w:val="22"/>
          <w:szCs w:val="22"/>
        </w:rPr>
        <w:t>controlar o processo de adensamento e a intensificação de ocupação do solo, na defesa do</w:t>
      </w:r>
      <w:r>
        <w:rPr>
          <w:rFonts w:ascii="Tahoma" w:eastAsia="Tahoma" w:hAnsi="Tahoma" w:cs="Tahoma"/>
          <w:b/>
          <w:sz w:val="22"/>
          <w:szCs w:val="22"/>
        </w:rPr>
        <w:t xml:space="preserve"> </w:t>
      </w:r>
      <w:r w:rsidRPr="00E04E04">
        <w:rPr>
          <w:rFonts w:ascii="Tahoma" w:eastAsia="Tahoma" w:hAnsi="Tahoma" w:cs="Tahoma"/>
          <w:b/>
          <w:sz w:val="22"/>
          <w:szCs w:val="22"/>
        </w:rPr>
        <w:t>ambiente urbano de qualidade por meio de restrição à promoção de empreendimentos de grande</w:t>
      </w:r>
      <w:r>
        <w:rPr>
          <w:rFonts w:ascii="Tahoma" w:eastAsia="Tahoma" w:hAnsi="Tahoma" w:cs="Tahoma"/>
          <w:b/>
          <w:sz w:val="22"/>
          <w:szCs w:val="22"/>
        </w:rPr>
        <w:t xml:space="preserve"> </w:t>
      </w:r>
      <w:r w:rsidRPr="00E04E04">
        <w:rPr>
          <w:rFonts w:ascii="Tahoma" w:eastAsia="Tahoma" w:hAnsi="Tahoma" w:cs="Tahoma"/>
          <w:b/>
          <w:sz w:val="22"/>
          <w:szCs w:val="22"/>
        </w:rPr>
        <w:t>porte</w:t>
      </w:r>
      <w:r>
        <w:rPr>
          <w:rFonts w:ascii="Tahoma" w:eastAsia="Tahoma" w:hAnsi="Tahoma" w:cs="Tahoma"/>
          <w:b/>
          <w:sz w:val="22"/>
          <w:szCs w:val="22"/>
        </w:rPr>
        <w:t xml:space="preserve"> </w:t>
      </w:r>
      <w:r w:rsidRPr="00E04E04">
        <w:rPr>
          <w:rFonts w:ascii="Tahoma" w:eastAsia="Tahoma" w:hAnsi="Tahoma" w:cs="Tahoma"/>
          <w:b/>
          <w:sz w:val="22"/>
          <w:szCs w:val="22"/>
        </w:rPr>
        <w:t>em áreas saturadas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E04E04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III - </w:t>
      </w:r>
      <w:r w:rsidRPr="004C4F69">
        <w:rPr>
          <w:rFonts w:ascii="Tahoma" w:eastAsia="Tahoma" w:hAnsi="Tahoma" w:cs="Tahoma"/>
          <w:sz w:val="22"/>
          <w:szCs w:val="22"/>
        </w:rPr>
        <w:t xml:space="preserve">orientar o adensamento populacional segundo a </w:t>
      </w:r>
      <w:r w:rsidRPr="004C4F69">
        <w:rPr>
          <w:rFonts w:ascii="Tahoma" w:eastAsia="Tahoma" w:hAnsi="Tahoma" w:cs="Tahoma"/>
          <w:b/>
          <w:sz w:val="22"/>
          <w:szCs w:val="22"/>
        </w:rPr>
        <w:t>disponibilidade de saneamento básico, dos sistemas de circulação e dos demais equipamentos e serviços urbanos</w:t>
      </w:r>
      <w:r w:rsidRPr="004C4F69">
        <w:rPr>
          <w:rFonts w:ascii="Tahoma" w:eastAsia="Tahoma" w:hAnsi="Tahoma" w:cs="Tahoma"/>
          <w:sz w:val="22"/>
          <w:szCs w:val="22"/>
        </w:rPr>
        <w:t>, com diversidade social, para aproveitar melhor a infraestrutura instalada e equilibrar a relação entre oferta de empregos e moradia;</w:t>
      </w:r>
      <w:r w:rsidR="00E04E04" w:rsidRPr="00E04E04">
        <w:rPr>
          <w:rFonts w:ascii="Tahoma" w:eastAsia="Tahoma" w:hAnsi="Tahoma" w:cs="Tahoma"/>
          <w:sz w:val="22"/>
          <w:szCs w:val="22"/>
        </w:rPr>
        <w:br/>
        <w:t xml:space="preserve">IV – preservar ambientes construídos pela reutilização e </w:t>
      </w:r>
      <w:r w:rsidR="00E04E04" w:rsidRPr="00E04E04">
        <w:rPr>
          <w:rFonts w:ascii="Tahoma" w:eastAsia="Tahoma" w:hAnsi="Tahoma" w:cs="Tahoma"/>
          <w:b/>
          <w:sz w:val="22"/>
          <w:szCs w:val="22"/>
        </w:rPr>
        <w:t>conservação de imóveis de valor</w:t>
      </w:r>
      <w:r w:rsidR="00E04E04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E04E04" w:rsidRPr="00E04E04">
        <w:rPr>
          <w:rFonts w:ascii="Tahoma" w:eastAsia="Tahoma" w:hAnsi="Tahoma" w:cs="Tahoma"/>
          <w:b/>
          <w:sz w:val="22"/>
          <w:szCs w:val="22"/>
        </w:rPr>
        <w:t>cultural</w:t>
      </w:r>
      <w:r w:rsidR="00E04E04" w:rsidRPr="00E04E04">
        <w:rPr>
          <w:rFonts w:ascii="Tahoma" w:eastAsia="Tahoma" w:hAnsi="Tahoma" w:cs="Tahoma"/>
          <w:sz w:val="22"/>
          <w:szCs w:val="22"/>
        </w:rPr>
        <w:t>;</w:t>
      </w:r>
    </w:p>
    <w:p w:rsidR="00375E5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VI – </w:t>
      </w:r>
      <w:r w:rsidRPr="00375E54">
        <w:rPr>
          <w:rFonts w:ascii="Tahoma" w:eastAsia="Tahoma" w:hAnsi="Tahoma" w:cs="Tahoma"/>
          <w:b/>
          <w:sz w:val="22"/>
          <w:szCs w:val="22"/>
        </w:rPr>
        <w:t>manter as áreas verdes significativas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375E54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="00375E54">
        <w:rPr>
          <w:rFonts w:ascii="Tahoma" w:eastAsia="Tahoma" w:hAnsi="Tahoma" w:cs="Tahoma"/>
          <w:sz w:val="22"/>
          <w:szCs w:val="22"/>
        </w:rPr>
        <w:t>”.</w:t>
      </w:r>
    </w:p>
    <w:p w:rsidR="00375E54" w:rsidRPr="00375E54" w:rsidRDefault="007177C8" w:rsidP="00375E54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6473190" cy="3649980"/>
            <wp:effectExtent l="0" t="0" r="381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1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BD6" w:rsidRPr="00375E54" w:rsidRDefault="00375E54" w:rsidP="00375E54">
      <w:pPr>
        <w:jc w:val="center"/>
        <w:rPr>
          <w:rFonts w:ascii="Tahoma" w:eastAsia="Tahoma" w:hAnsi="Tahoma" w:cs="Tahoma"/>
          <w:sz w:val="18"/>
          <w:szCs w:val="18"/>
        </w:rPr>
      </w:pPr>
      <w:r w:rsidRPr="00375E54">
        <w:rPr>
          <w:rFonts w:ascii="Tahoma" w:eastAsia="Tahoma" w:hAnsi="Tahoma" w:cs="Tahoma"/>
          <w:sz w:val="18"/>
          <w:szCs w:val="18"/>
        </w:rPr>
        <w:t>Macroárea de Urbanização Consolidada em amarelo escuro. Fonte: PL221/2023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055CDF" w:rsidRDefault="00055CDF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563B" w:rsidRDefault="00EB563B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563B" w:rsidRDefault="00EB563B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055CDF" w:rsidRPr="00055CDF" w:rsidRDefault="00055CDF" w:rsidP="00055CD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A46DA" w:rsidRDefault="003F4B47" w:rsidP="00E842ED">
      <w:pPr>
        <w:spacing w:line="360" w:lineRule="auto"/>
        <w:ind w:left="36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Assim, segue o comparativo entre os parâmetros urbanísticos estabelecidos pelo PUR Praias da Baía que vigorava até então e as alterações propostas pelo projeto da Lei Urbanística PL 221/2023:</w:t>
      </w:r>
    </w:p>
    <w:p w:rsidR="00A05D85" w:rsidRDefault="00A05D85" w:rsidP="00E842ED">
      <w:pPr>
        <w:spacing w:line="360" w:lineRule="auto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3F4B47" w:rsidRDefault="00E021A2" w:rsidP="00A1467A">
      <w:pPr>
        <w:ind w:left="142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6473190" cy="3350895"/>
            <wp:effectExtent l="0" t="0" r="3810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35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DC2" w:rsidRPr="00700DC2" w:rsidRDefault="00700DC2" w:rsidP="00A1467A">
      <w:pPr>
        <w:ind w:left="142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Frações urbanas d</w:t>
      </w:r>
      <w:r w:rsidR="00F96104">
        <w:rPr>
          <w:rFonts w:ascii="Tahoma" w:eastAsia="Tahoma" w:hAnsi="Tahoma" w:cs="Tahoma"/>
          <w:sz w:val="18"/>
          <w:szCs w:val="18"/>
        </w:rPr>
        <w:t>a</w:t>
      </w:r>
      <w:r>
        <w:rPr>
          <w:rFonts w:ascii="Tahoma" w:eastAsia="Tahoma" w:hAnsi="Tahoma" w:cs="Tahoma"/>
          <w:sz w:val="18"/>
          <w:szCs w:val="18"/>
        </w:rPr>
        <w:t xml:space="preserve"> </w:t>
      </w:r>
      <w:proofErr w:type="spellStart"/>
      <w:r w:rsidR="00F96104">
        <w:rPr>
          <w:rFonts w:ascii="Tahoma" w:eastAsia="Tahoma" w:hAnsi="Tahoma" w:cs="Tahoma"/>
          <w:sz w:val="18"/>
          <w:szCs w:val="18"/>
        </w:rPr>
        <w:t>subregião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Icaraí segundo o </w:t>
      </w:r>
      <w:r w:rsidRPr="00700DC2">
        <w:rPr>
          <w:rFonts w:ascii="Tahoma" w:eastAsia="Tahoma" w:hAnsi="Tahoma" w:cs="Tahoma"/>
          <w:sz w:val="18"/>
          <w:szCs w:val="18"/>
        </w:rPr>
        <w:t>P</w:t>
      </w:r>
      <w:r>
        <w:rPr>
          <w:rFonts w:ascii="Tahoma" w:eastAsia="Tahoma" w:hAnsi="Tahoma" w:cs="Tahoma"/>
          <w:sz w:val="18"/>
          <w:szCs w:val="18"/>
        </w:rPr>
        <w:t xml:space="preserve">lano </w:t>
      </w:r>
      <w:r w:rsidRPr="00700DC2">
        <w:rPr>
          <w:rFonts w:ascii="Tahoma" w:eastAsia="Tahoma" w:hAnsi="Tahoma" w:cs="Tahoma"/>
          <w:sz w:val="18"/>
          <w:szCs w:val="18"/>
        </w:rPr>
        <w:t>U</w:t>
      </w:r>
      <w:r>
        <w:rPr>
          <w:rFonts w:ascii="Tahoma" w:eastAsia="Tahoma" w:hAnsi="Tahoma" w:cs="Tahoma"/>
          <w:sz w:val="18"/>
          <w:szCs w:val="18"/>
        </w:rPr>
        <w:t xml:space="preserve">rbanístico </w:t>
      </w:r>
      <w:r w:rsidRPr="00700DC2">
        <w:rPr>
          <w:rFonts w:ascii="Tahoma" w:eastAsia="Tahoma" w:hAnsi="Tahoma" w:cs="Tahoma"/>
          <w:sz w:val="18"/>
          <w:szCs w:val="18"/>
        </w:rPr>
        <w:t>R</w:t>
      </w:r>
      <w:r>
        <w:rPr>
          <w:rFonts w:ascii="Tahoma" w:eastAsia="Tahoma" w:hAnsi="Tahoma" w:cs="Tahoma"/>
          <w:sz w:val="18"/>
          <w:szCs w:val="18"/>
        </w:rPr>
        <w:t>egional</w:t>
      </w:r>
      <w:r w:rsidRPr="00700DC2">
        <w:rPr>
          <w:rFonts w:ascii="Tahoma" w:eastAsia="Tahoma" w:hAnsi="Tahoma" w:cs="Tahoma"/>
          <w:sz w:val="18"/>
          <w:szCs w:val="18"/>
        </w:rPr>
        <w:t xml:space="preserve"> Praias da Baía</w:t>
      </w:r>
    </w:p>
    <w:p w:rsidR="00EB25C6" w:rsidRDefault="00345968" w:rsidP="00A1467A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ind w:right="-4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478305" cy="6836735"/>
            <wp:effectExtent l="0" t="0" r="0" b="254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1.png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1705" cy="6871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67A" w:rsidRPr="00700DC2" w:rsidRDefault="00A1467A" w:rsidP="00A1467A">
      <w:pPr>
        <w:ind w:left="142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>Parâmetros urbanísticos para cada fração</w:t>
      </w:r>
      <w:r>
        <w:rPr>
          <w:rFonts w:ascii="Tahoma" w:eastAsia="Tahoma" w:hAnsi="Tahoma" w:cs="Tahoma"/>
          <w:sz w:val="18"/>
          <w:szCs w:val="18"/>
        </w:rPr>
        <w:t xml:space="preserve"> u</w:t>
      </w:r>
      <w:r>
        <w:rPr>
          <w:rFonts w:ascii="Tahoma" w:eastAsia="Tahoma" w:hAnsi="Tahoma" w:cs="Tahoma"/>
          <w:sz w:val="18"/>
          <w:szCs w:val="18"/>
        </w:rPr>
        <w:t>rbana</w:t>
      </w:r>
      <w:r>
        <w:rPr>
          <w:rFonts w:ascii="Tahoma" w:eastAsia="Tahoma" w:hAnsi="Tahoma" w:cs="Tahoma"/>
          <w:sz w:val="18"/>
          <w:szCs w:val="18"/>
        </w:rPr>
        <w:t xml:space="preserve"> d</w:t>
      </w:r>
      <w:r w:rsidR="00F96104">
        <w:rPr>
          <w:rFonts w:ascii="Tahoma" w:eastAsia="Tahoma" w:hAnsi="Tahoma" w:cs="Tahoma"/>
          <w:sz w:val="18"/>
          <w:szCs w:val="18"/>
        </w:rPr>
        <w:t xml:space="preserve">a </w:t>
      </w:r>
      <w:proofErr w:type="spellStart"/>
      <w:r w:rsidR="00F96104">
        <w:rPr>
          <w:rFonts w:ascii="Tahoma" w:eastAsia="Tahoma" w:hAnsi="Tahoma" w:cs="Tahoma"/>
          <w:sz w:val="18"/>
          <w:szCs w:val="18"/>
        </w:rPr>
        <w:t>subregião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Icaraí segundo o </w:t>
      </w:r>
      <w:r w:rsidRPr="00700DC2">
        <w:rPr>
          <w:rFonts w:ascii="Tahoma" w:eastAsia="Tahoma" w:hAnsi="Tahoma" w:cs="Tahoma"/>
          <w:sz w:val="18"/>
          <w:szCs w:val="18"/>
        </w:rPr>
        <w:t>P</w:t>
      </w:r>
      <w:r>
        <w:rPr>
          <w:rFonts w:ascii="Tahoma" w:eastAsia="Tahoma" w:hAnsi="Tahoma" w:cs="Tahoma"/>
          <w:sz w:val="18"/>
          <w:szCs w:val="18"/>
        </w:rPr>
        <w:t xml:space="preserve">lano </w:t>
      </w:r>
      <w:r w:rsidRPr="00700DC2">
        <w:rPr>
          <w:rFonts w:ascii="Tahoma" w:eastAsia="Tahoma" w:hAnsi="Tahoma" w:cs="Tahoma"/>
          <w:sz w:val="18"/>
          <w:szCs w:val="18"/>
        </w:rPr>
        <w:t>U</w:t>
      </w:r>
      <w:r>
        <w:rPr>
          <w:rFonts w:ascii="Tahoma" w:eastAsia="Tahoma" w:hAnsi="Tahoma" w:cs="Tahoma"/>
          <w:sz w:val="18"/>
          <w:szCs w:val="18"/>
        </w:rPr>
        <w:t xml:space="preserve">rbanístico </w:t>
      </w:r>
      <w:r w:rsidRPr="00700DC2">
        <w:rPr>
          <w:rFonts w:ascii="Tahoma" w:eastAsia="Tahoma" w:hAnsi="Tahoma" w:cs="Tahoma"/>
          <w:sz w:val="18"/>
          <w:szCs w:val="18"/>
        </w:rPr>
        <w:t>R</w:t>
      </w:r>
      <w:r>
        <w:rPr>
          <w:rFonts w:ascii="Tahoma" w:eastAsia="Tahoma" w:hAnsi="Tahoma" w:cs="Tahoma"/>
          <w:sz w:val="18"/>
          <w:szCs w:val="18"/>
        </w:rPr>
        <w:t>egional</w:t>
      </w:r>
      <w:r w:rsidRPr="00700DC2">
        <w:rPr>
          <w:rFonts w:ascii="Tahoma" w:eastAsia="Tahoma" w:hAnsi="Tahoma" w:cs="Tahoma"/>
          <w:sz w:val="18"/>
          <w:szCs w:val="18"/>
        </w:rPr>
        <w:t xml:space="preserve"> Praias da Baía</w:t>
      </w:r>
    </w:p>
    <w:p w:rsidR="00A1467A" w:rsidRDefault="00A1467A" w:rsidP="0043544E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3578CA" w:rsidRDefault="00B043FD" w:rsidP="00B043F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ind w:right="-4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569174" cy="4765040"/>
            <wp:effectExtent l="0" t="0" r="3175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ROPOSTA LEI URBANISTICA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454"/>
                    <a:stretch/>
                  </pic:blipFill>
                  <pic:spPr bwMode="auto">
                    <a:xfrm>
                      <a:off x="0" y="0"/>
                      <a:ext cx="6583581" cy="477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78CA" w:rsidRDefault="003578CA" w:rsidP="00B043FD">
      <w:pPr>
        <w:ind w:left="142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Zoneamento urbano proposto para </w:t>
      </w:r>
      <w:r w:rsidR="00F96104">
        <w:rPr>
          <w:rFonts w:ascii="Tahoma" w:eastAsia="Tahoma" w:hAnsi="Tahoma" w:cs="Tahoma"/>
          <w:sz w:val="18"/>
          <w:szCs w:val="18"/>
        </w:rPr>
        <w:t xml:space="preserve">a </w:t>
      </w:r>
      <w:proofErr w:type="spellStart"/>
      <w:r w:rsidR="00F96104">
        <w:rPr>
          <w:rFonts w:ascii="Tahoma" w:eastAsia="Tahoma" w:hAnsi="Tahoma" w:cs="Tahoma"/>
          <w:sz w:val="18"/>
          <w:szCs w:val="18"/>
        </w:rPr>
        <w:t>subregião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Icaraí </w:t>
      </w:r>
      <w:r>
        <w:rPr>
          <w:rFonts w:ascii="Tahoma" w:eastAsia="Tahoma" w:hAnsi="Tahoma" w:cs="Tahoma"/>
          <w:sz w:val="18"/>
          <w:szCs w:val="18"/>
        </w:rPr>
        <w:t xml:space="preserve">pelo Projeto de Lei </w:t>
      </w:r>
      <w:r w:rsidR="00B043FD">
        <w:rPr>
          <w:rFonts w:ascii="Tahoma" w:eastAsia="Tahoma" w:hAnsi="Tahoma" w:cs="Tahoma"/>
          <w:sz w:val="18"/>
          <w:szCs w:val="18"/>
        </w:rPr>
        <w:t xml:space="preserve">221/2023, onde, entre parênteses é informado o número total de pavimentos permitido. </w:t>
      </w:r>
    </w:p>
    <w:p w:rsidR="003578CA" w:rsidRDefault="003578CA" w:rsidP="003578CA">
      <w:pPr>
        <w:ind w:left="142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0C6CAE" w:rsidRDefault="000C6CAE" w:rsidP="003578CA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ind w:right="-4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353388" cy="4276725"/>
            <wp:effectExtent l="0" t="0" r="952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4.png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584" cy="428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8CA" w:rsidRPr="00700DC2" w:rsidRDefault="003578CA" w:rsidP="003578CA">
      <w:pPr>
        <w:ind w:left="142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Parâmetros urbanísticos para cada </w:t>
      </w:r>
      <w:r>
        <w:rPr>
          <w:rFonts w:ascii="Tahoma" w:eastAsia="Tahoma" w:hAnsi="Tahoma" w:cs="Tahoma"/>
          <w:sz w:val="18"/>
          <w:szCs w:val="18"/>
        </w:rPr>
        <w:t>zoneamento urbano proposto para</w:t>
      </w:r>
      <w:r>
        <w:rPr>
          <w:rFonts w:ascii="Tahoma" w:eastAsia="Tahoma" w:hAnsi="Tahoma" w:cs="Tahoma"/>
          <w:sz w:val="18"/>
          <w:szCs w:val="18"/>
        </w:rPr>
        <w:t xml:space="preserve"> o bairro de Icaraí pelo </w:t>
      </w:r>
      <w:r>
        <w:rPr>
          <w:rFonts w:ascii="Tahoma" w:eastAsia="Tahoma" w:hAnsi="Tahoma" w:cs="Tahoma"/>
          <w:sz w:val="18"/>
          <w:szCs w:val="18"/>
        </w:rPr>
        <w:t>PL</w:t>
      </w:r>
      <w:r>
        <w:rPr>
          <w:rFonts w:ascii="Tahoma" w:eastAsia="Tahoma" w:hAnsi="Tahoma" w:cs="Tahoma"/>
          <w:sz w:val="18"/>
          <w:szCs w:val="18"/>
        </w:rPr>
        <w:t xml:space="preserve"> </w:t>
      </w:r>
      <w:r>
        <w:rPr>
          <w:rFonts w:ascii="Tahoma" w:eastAsia="Tahoma" w:hAnsi="Tahoma" w:cs="Tahoma"/>
          <w:sz w:val="18"/>
          <w:szCs w:val="18"/>
        </w:rPr>
        <w:t>221/2023</w:t>
      </w:r>
    </w:p>
    <w:p w:rsidR="003578CA" w:rsidRDefault="003578CA" w:rsidP="0043544E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0C6CAE" w:rsidRPr="003578CA" w:rsidRDefault="000C6CAE" w:rsidP="003578CA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ind w:right="-4"/>
        <w:jc w:val="center"/>
        <w:rPr>
          <w:rFonts w:ascii="Tahoma" w:eastAsia="Tahoma" w:hAnsi="Tahoma" w:cs="Tahoma"/>
          <w:b/>
          <w:sz w:val="18"/>
          <w:szCs w:val="18"/>
        </w:rPr>
      </w:pPr>
      <w:r w:rsidRPr="003578CA">
        <w:rPr>
          <w:rFonts w:ascii="Tahoma" w:eastAsia="Tahoma" w:hAnsi="Tahoma" w:cs="Tahoma"/>
          <w:b/>
          <w:noProof/>
          <w:sz w:val="18"/>
          <w:szCs w:val="18"/>
          <w:lang w:eastAsia="pt-BR"/>
        </w:rPr>
        <w:lastRenderedPageBreak/>
        <w:drawing>
          <wp:inline distT="0" distB="0" distL="0" distR="0">
            <wp:extent cx="6229350" cy="4157789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5.png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239" cy="416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618" w:rsidRDefault="00330751" w:rsidP="00E54618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ind w:right="-4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drawing>
          <wp:inline distT="0" distB="0" distL="0" distR="0">
            <wp:extent cx="2980112" cy="3133725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6.png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191" cy="314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618" w:rsidRPr="003578CA" w:rsidRDefault="00E54618" w:rsidP="00E54618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ind w:right="-4"/>
        <w:jc w:val="center"/>
        <w:rPr>
          <w:rFonts w:ascii="Tahoma" w:eastAsia="Tahoma" w:hAnsi="Tahoma" w:cs="Tahoma"/>
          <w:sz w:val="18"/>
          <w:szCs w:val="18"/>
        </w:rPr>
      </w:pPr>
      <w:r w:rsidRPr="003578CA">
        <w:rPr>
          <w:rFonts w:ascii="Tahoma" w:eastAsia="Tahoma" w:hAnsi="Tahoma" w:cs="Tahoma"/>
          <w:sz w:val="18"/>
          <w:szCs w:val="18"/>
        </w:rPr>
        <w:t>Parâmetros urbanísticos para cada zoneamento urbano proposto para o bairro de Icaraí pelo PL 221/2023</w:t>
      </w:r>
    </w:p>
    <w:p w:rsidR="00330751" w:rsidRDefault="00330751" w:rsidP="00E54618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ind w:right="-4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3430129" cy="7229475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7.png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8808" cy="731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618" w:rsidRPr="003578CA" w:rsidRDefault="00E54618" w:rsidP="00E54618">
      <w:pPr>
        <w:ind w:left="142"/>
        <w:jc w:val="center"/>
        <w:rPr>
          <w:rFonts w:ascii="Tahoma" w:eastAsia="Tahoma" w:hAnsi="Tahoma" w:cs="Tahoma"/>
          <w:sz w:val="18"/>
          <w:szCs w:val="18"/>
        </w:rPr>
      </w:pPr>
      <w:r w:rsidRPr="003578CA">
        <w:rPr>
          <w:rFonts w:ascii="Tahoma" w:eastAsia="Tahoma" w:hAnsi="Tahoma" w:cs="Tahoma"/>
          <w:sz w:val="18"/>
          <w:szCs w:val="18"/>
        </w:rPr>
        <w:t>Parâmetros urbanísticos para cada zoneamento urbano proposto para o bairro de Icaraí pelo PL 221/2023</w:t>
      </w:r>
    </w:p>
    <w:p w:rsidR="00E54618" w:rsidRDefault="00E54618" w:rsidP="0043544E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EB563B" w:rsidRPr="00EB563B" w:rsidRDefault="00EB563B" w:rsidP="00FF4FA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B563B">
        <w:rPr>
          <w:rFonts w:ascii="Tahoma" w:eastAsia="Tahoma" w:hAnsi="Tahoma" w:cs="Tahoma"/>
          <w:sz w:val="22"/>
          <w:szCs w:val="22"/>
        </w:rPr>
        <w:t xml:space="preserve">A manutenção e/ou aumento do adensamento e verticalização no bairro impactará o sistema viário, ocasionando ainda mais </w:t>
      </w:r>
      <w:r w:rsidRPr="00EB563B">
        <w:rPr>
          <w:rFonts w:ascii="Tahoma" w:eastAsia="Tahoma" w:hAnsi="Tahoma" w:cs="Tahoma"/>
          <w:b/>
          <w:sz w:val="22"/>
          <w:szCs w:val="22"/>
        </w:rPr>
        <w:t>engarrafamentos</w:t>
      </w:r>
      <w:r w:rsidRPr="00EB563B">
        <w:rPr>
          <w:rFonts w:ascii="Tahoma" w:eastAsia="Tahoma" w:hAnsi="Tahoma" w:cs="Tahoma"/>
          <w:sz w:val="22"/>
          <w:szCs w:val="22"/>
        </w:rPr>
        <w:t xml:space="preserve"> que contribuem para a </w:t>
      </w:r>
      <w:r w:rsidRPr="00EB563B">
        <w:rPr>
          <w:rFonts w:ascii="Tahoma" w:eastAsia="Tahoma" w:hAnsi="Tahoma" w:cs="Tahoma"/>
          <w:b/>
          <w:sz w:val="22"/>
          <w:szCs w:val="22"/>
        </w:rPr>
        <w:t>poluição sonora</w:t>
      </w:r>
      <w:r w:rsidRPr="00EB563B">
        <w:rPr>
          <w:rFonts w:ascii="Tahoma" w:eastAsia="Tahoma" w:hAnsi="Tahoma" w:cs="Tahoma"/>
          <w:sz w:val="22"/>
          <w:szCs w:val="22"/>
        </w:rPr>
        <w:t xml:space="preserve"> e </w:t>
      </w:r>
      <w:r w:rsidRPr="00EB563B">
        <w:rPr>
          <w:rFonts w:ascii="Tahoma" w:eastAsia="Tahoma" w:hAnsi="Tahoma" w:cs="Tahoma"/>
          <w:b/>
          <w:sz w:val="22"/>
          <w:szCs w:val="22"/>
        </w:rPr>
        <w:t>piora na qualidade do ar</w:t>
      </w:r>
      <w:r w:rsidRPr="00EB563B">
        <w:rPr>
          <w:rFonts w:ascii="Tahoma" w:eastAsia="Tahoma" w:hAnsi="Tahoma" w:cs="Tahoma"/>
          <w:sz w:val="22"/>
          <w:szCs w:val="22"/>
        </w:rPr>
        <w:t>;</w:t>
      </w:r>
    </w:p>
    <w:p w:rsidR="00EB563B" w:rsidRDefault="00EB563B" w:rsidP="00EB563B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Fará ainda mais </w:t>
      </w:r>
      <w:r w:rsidRPr="002725DA">
        <w:rPr>
          <w:rFonts w:ascii="Tahoma" w:eastAsia="Tahoma" w:hAnsi="Tahoma" w:cs="Tahoma"/>
          <w:b/>
          <w:sz w:val="22"/>
          <w:szCs w:val="22"/>
        </w:rPr>
        <w:t>pressão na infraestrutura</w:t>
      </w:r>
      <w:r>
        <w:rPr>
          <w:rFonts w:ascii="Tahoma" w:eastAsia="Tahoma" w:hAnsi="Tahoma" w:cs="Tahoma"/>
          <w:sz w:val="22"/>
          <w:szCs w:val="22"/>
        </w:rPr>
        <w:t xml:space="preserve"> dos sistemas de </w:t>
      </w:r>
      <w:r w:rsidRPr="002725DA">
        <w:rPr>
          <w:rFonts w:ascii="Tahoma" w:eastAsia="Tahoma" w:hAnsi="Tahoma" w:cs="Tahoma"/>
          <w:b/>
          <w:sz w:val="22"/>
          <w:szCs w:val="22"/>
        </w:rPr>
        <w:t>abastecimento de água</w:t>
      </w:r>
      <w:r>
        <w:rPr>
          <w:rFonts w:ascii="Tahoma" w:eastAsia="Tahoma" w:hAnsi="Tahoma" w:cs="Tahoma"/>
          <w:sz w:val="22"/>
          <w:szCs w:val="22"/>
        </w:rPr>
        <w:t xml:space="preserve"> e </w:t>
      </w:r>
      <w:r w:rsidRPr="002725DA">
        <w:rPr>
          <w:rFonts w:ascii="Tahoma" w:eastAsia="Tahoma" w:hAnsi="Tahoma" w:cs="Tahoma"/>
          <w:b/>
          <w:sz w:val="22"/>
          <w:szCs w:val="22"/>
        </w:rPr>
        <w:t>coleta de esgoto</w:t>
      </w:r>
      <w:r>
        <w:rPr>
          <w:rFonts w:ascii="Tahoma" w:eastAsia="Tahoma" w:hAnsi="Tahoma" w:cs="Tahoma"/>
          <w:sz w:val="22"/>
          <w:szCs w:val="22"/>
        </w:rPr>
        <w:t xml:space="preserve"> assim como no </w:t>
      </w:r>
      <w:r w:rsidRPr="002725DA">
        <w:rPr>
          <w:rFonts w:ascii="Tahoma" w:eastAsia="Tahoma" w:hAnsi="Tahoma" w:cs="Tahoma"/>
          <w:b/>
          <w:sz w:val="22"/>
          <w:szCs w:val="22"/>
        </w:rPr>
        <w:t>sistema de drenagem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EB563B" w:rsidRPr="00D23FEC" w:rsidRDefault="00EB563B" w:rsidP="00EB563B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23FEC">
        <w:rPr>
          <w:rFonts w:ascii="Tahoma" w:eastAsia="Tahoma" w:hAnsi="Tahoma" w:cs="Tahoma"/>
          <w:sz w:val="22"/>
          <w:szCs w:val="22"/>
        </w:rPr>
        <w:t xml:space="preserve">A implantação de grandes empreendimentos imobiliários </w:t>
      </w:r>
      <w:r w:rsidRPr="00D23FEC">
        <w:rPr>
          <w:rFonts w:ascii="Tahoma" w:eastAsia="Tahoma" w:hAnsi="Tahoma" w:cs="Tahoma"/>
          <w:b/>
          <w:sz w:val="22"/>
          <w:szCs w:val="22"/>
        </w:rPr>
        <w:t>aumentará a impermeabilização do solo</w:t>
      </w:r>
      <w:r w:rsidRPr="00D23FEC">
        <w:rPr>
          <w:rFonts w:ascii="Tahoma" w:eastAsia="Tahoma" w:hAnsi="Tahoma" w:cs="Tahoma"/>
          <w:sz w:val="22"/>
          <w:szCs w:val="22"/>
        </w:rPr>
        <w:t xml:space="preserve">, o que </w:t>
      </w:r>
      <w:r w:rsidRPr="00D23FEC">
        <w:rPr>
          <w:rFonts w:ascii="Tahoma" w:eastAsia="Tahoma" w:hAnsi="Tahoma" w:cs="Tahoma"/>
          <w:b/>
          <w:sz w:val="22"/>
          <w:szCs w:val="22"/>
        </w:rPr>
        <w:t>pode provocar impactos negativos na manutenção do lençol freático</w:t>
      </w:r>
      <w:r w:rsidRPr="00D23FEC">
        <w:rPr>
          <w:rFonts w:ascii="Tahoma" w:eastAsia="Tahoma" w:hAnsi="Tahoma" w:cs="Tahoma"/>
          <w:sz w:val="22"/>
          <w:szCs w:val="22"/>
        </w:rPr>
        <w:t>, que é a camada de água subterrânea presente abaixo da superfície do solo. A impermeabilização ocorre quando superfícies naturais são cobertas por materiais impermeáveis, como asfalto, concreto ou outros revestimentos, impedindo a absorção natural da água pelo solo. Onde podemos citar alguns dos principais impactos:</w:t>
      </w:r>
    </w:p>
    <w:p w:rsidR="00EB563B" w:rsidRPr="00D03E75" w:rsidRDefault="00EB563B" w:rsidP="00EB563B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bCs/>
          <w:sz w:val="22"/>
          <w:szCs w:val="22"/>
        </w:rPr>
        <w:t>Redução da infiltração de água:</w:t>
      </w:r>
      <w:r w:rsidRPr="00D03E75">
        <w:rPr>
          <w:rFonts w:ascii="Tahoma" w:eastAsia="Tahoma" w:hAnsi="Tahoma" w:cs="Tahoma"/>
          <w:sz w:val="22"/>
          <w:szCs w:val="22"/>
        </w:rPr>
        <w:t xml:space="preserve"> A impermeabilização impede que a água da chuva seja absorvida pelo solo, reduzindo a quantidade de água que recarrega o lençol freático. Isso pode levar a uma diminuição do nível do lençol freático ao longo do tempo;</w:t>
      </w:r>
    </w:p>
    <w:p w:rsidR="00EB563B" w:rsidRPr="0002285C" w:rsidRDefault="00EB563B" w:rsidP="00EB563B">
      <w:pPr>
        <w:pStyle w:val="PargrafodaLista"/>
        <w:numPr>
          <w:ilvl w:val="1"/>
          <w:numId w:val="2"/>
        </w:num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 w:rsidRPr="0002285C">
        <w:rPr>
          <w:rFonts w:ascii="Tahoma" w:eastAsia="Tahoma" w:hAnsi="Tahoma" w:cs="Tahoma"/>
          <w:b/>
          <w:bCs/>
          <w:sz w:val="22"/>
          <w:szCs w:val="22"/>
        </w:rPr>
        <w:t>Aumento do escoamento superficial:</w:t>
      </w:r>
      <w:r w:rsidRPr="0002285C">
        <w:rPr>
          <w:rFonts w:ascii="Tahoma" w:eastAsia="Tahoma" w:hAnsi="Tahoma" w:cs="Tahoma"/>
          <w:sz w:val="22"/>
          <w:szCs w:val="22"/>
        </w:rPr>
        <w:t xml:space="preserve"> Com menos água sendo absorvida pelo solo, há um aumento no escoamento superficial. Isso pode levar a enchentes mais frequentes e intensas, pois a água da chuva flui mais rapidamente sobre a superfície impermeabilizada em vez de ser absorvida pelo solo, agudizando os já costumeiros alagamentos na região;</w:t>
      </w:r>
    </w:p>
    <w:p w:rsidR="00EB563B" w:rsidRPr="00D03E75" w:rsidRDefault="00EB563B" w:rsidP="00EB563B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 xml:space="preserve">Alterações na qualidade da água: </w:t>
      </w:r>
      <w:r w:rsidRPr="00D03E75">
        <w:rPr>
          <w:rFonts w:ascii="Tahoma" w:eastAsia="Tahoma" w:hAnsi="Tahoma" w:cs="Tahoma"/>
          <w:sz w:val="22"/>
          <w:szCs w:val="22"/>
        </w:rPr>
        <w:t>O escoamento superficial sobre superfícies impermeáveis pode transportar poluentes, como óleos, metais pesados e substâncias químicas, para corpos d'água próximos. Isso afeta negativamente a qualidade da água no lençol freático;</w:t>
      </w:r>
    </w:p>
    <w:p w:rsidR="00EB563B" w:rsidRPr="00D03E75" w:rsidRDefault="00EB563B" w:rsidP="00EB563B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>Mudanças na temperatura do solo</w:t>
      </w:r>
      <w:r w:rsidRPr="00D03E75">
        <w:rPr>
          <w:rFonts w:ascii="Tahoma" w:eastAsia="Tahoma" w:hAnsi="Tahoma" w:cs="Tahoma"/>
          <w:sz w:val="22"/>
          <w:szCs w:val="22"/>
        </w:rPr>
        <w:t>: Superfícies impermeáveis, especialmente aquelas feitas de materiais como concreto e asfalto, absorvem e retêm o calor. Isso pode resultar em mudanças na temperatura do solo, afetando os processos naturais que ocorrem nas camadas mais profundas, incluindo o lençol freático;</w:t>
      </w:r>
    </w:p>
    <w:p w:rsidR="00EB563B" w:rsidRPr="0048287A" w:rsidRDefault="00EB563B" w:rsidP="0048287A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9C4038">
        <w:rPr>
          <w:rFonts w:ascii="Tahoma" w:eastAsia="Tahoma" w:hAnsi="Tahoma" w:cs="Tahoma"/>
          <w:b/>
          <w:sz w:val="22"/>
          <w:szCs w:val="22"/>
        </w:rPr>
        <w:t>Subsidência do solo:</w:t>
      </w:r>
      <w:r>
        <w:rPr>
          <w:rFonts w:ascii="Tahoma" w:eastAsia="Tahoma" w:hAnsi="Tahoma" w:cs="Tahoma"/>
          <w:b/>
          <w:sz w:val="22"/>
          <w:szCs w:val="22"/>
        </w:rPr>
        <w:t xml:space="preserve"> </w:t>
      </w:r>
      <w:r w:rsidRPr="009C4038">
        <w:rPr>
          <w:rFonts w:ascii="Tahoma" w:eastAsia="Tahoma" w:hAnsi="Tahoma" w:cs="Tahoma"/>
          <w:sz w:val="22"/>
          <w:szCs w:val="22"/>
        </w:rPr>
        <w:t>Em algumas áreas, a retirada excessiva de água do lençol freático para uso humano pode levar à subsidência do solo, ou seja, ao afundamento da superfície terrestre. Isso pode resultar em danos à infraestrutura e ao ambiente local.</w:t>
      </w:r>
    </w:p>
    <w:p w:rsidR="00A05D85" w:rsidRDefault="00A05D85" w:rsidP="0043544E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197600" cy="3241964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CARAÍ.pn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5" t="5545" r="1853" b="5399"/>
                    <a:stretch/>
                  </pic:blipFill>
                  <pic:spPr bwMode="auto">
                    <a:xfrm>
                      <a:off x="0" y="0"/>
                      <a:ext cx="6198888" cy="3242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5D85" w:rsidRDefault="00A05D85" w:rsidP="00A05D8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Pelo </w:t>
      </w:r>
      <w:r w:rsidRPr="00B01EE6">
        <w:rPr>
          <w:rFonts w:ascii="Tahoma" w:eastAsia="Tahoma" w:hAnsi="Tahoma" w:cs="Tahoma"/>
          <w:b/>
          <w:sz w:val="22"/>
          <w:szCs w:val="22"/>
        </w:rPr>
        <w:t>Plano Urbanístico Regional das Praias da Baía</w:t>
      </w:r>
      <w:r>
        <w:rPr>
          <w:rFonts w:ascii="Tahoma" w:eastAsia="Tahoma" w:hAnsi="Tahoma" w:cs="Tahoma"/>
          <w:sz w:val="22"/>
          <w:szCs w:val="22"/>
        </w:rPr>
        <w:t xml:space="preserve"> (PUR Praias da Baía), o bairro de Icaraí era subdividido em frações urbanas (IC). Assim, cada fração urbana tinha um gabarito específico. Por exemplo, a fração urbana IC01 tinha um gabarito que permitia edificações até 09 pavimentos.</w:t>
      </w:r>
      <w:r w:rsidRPr="00A05D85">
        <w:rPr>
          <w:rFonts w:ascii="Tahoma" w:eastAsia="Tahoma" w:hAnsi="Tahoma" w:cs="Tahoma"/>
          <w:sz w:val="22"/>
          <w:szCs w:val="22"/>
        </w:rPr>
        <w:t xml:space="preserve"> Agora, com a </w:t>
      </w:r>
      <w:r w:rsidRPr="00B01EE6">
        <w:rPr>
          <w:rFonts w:ascii="Tahoma" w:eastAsia="Tahoma" w:hAnsi="Tahoma" w:cs="Tahoma"/>
          <w:b/>
          <w:sz w:val="22"/>
          <w:szCs w:val="22"/>
        </w:rPr>
        <w:t>Lei Urbanística</w:t>
      </w:r>
      <w:r w:rsidR="00766B79">
        <w:rPr>
          <w:rFonts w:ascii="Tahoma" w:eastAsia="Tahoma" w:hAnsi="Tahoma" w:cs="Tahoma"/>
          <w:sz w:val="22"/>
          <w:szCs w:val="22"/>
        </w:rPr>
        <w:t xml:space="preserve"> (PL221/2023)</w:t>
      </w:r>
      <w:r w:rsidRPr="00A05D85">
        <w:rPr>
          <w:rFonts w:ascii="Tahoma" w:eastAsia="Tahoma" w:hAnsi="Tahoma" w:cs="Tahoma"/>
          <w:sz w:val="22"/>
          <w:szCs w:val="22"/>
        </w:rPr>
        <w:t xml:space="preserve"> será possível construir até 12 pavimentos (IC01 = 09</w:t>
      </w:r>
      <w:r w:rsidRPr="00A05D85">
        <w:rPr>
          <w:rFonts w:ascii="Calibri" w:eastAsia="Tahoma" w:hAnsi="Calibri" w:cs="Tahoma"/>
          <w:sz w:val="22"/>
          <w:szCs w:val="22"/>
        </w:rPr>
        <w:t>→</w:t>
      </w:r>
      <w:r w:rsidRPr="00A05D85">
        <w:rPr>
          <w:rFonts w:ascii="Tahoma" w:eastAsia="Tahoma" w:hAnsi="Tahoma" w:cs="Tahoma"/>
          <w:sz w:val="22"/>
          <w:szCs w:val="22"/>
        </w:rPr>
        <w:t>12</w:t>
      </w:r>
      <w:r w:rsidR="00BF4A80">
        <w:rPr>
          <w:rFonts w:ascii="Tahoma" w:eastAsia="Tahoma" w:hAnsi="Tahoma" w:cs="Tahoma"/>
          <w:sz w:val="22"/>
          <w:szCs w:val="22"/>
        </w:rPr>
        <w:t>)</w:t>
      </w:r>
      <w:r w:rsidRPr="00A05D85">
        <w:rPr>
          <w:rFonts w:ascii="Tahoma" w:eastAsia="Tahoma" w:hAnsi="Tahoma" w:cs="Tahoma"/>
          <w:sz w:val="22"/>
          <w:szCs w:val="22"/>
        </w:rPr>
        <w:t>.</w:t>
      </w:r>
    </w:p>
    <w:p w:rsidR="00B01EE6" w:rsidRDefault="00B01EE6" w:rsidP="00A05D8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B01EE6" w:rsidRDefault="00B01EE6" w:rsidP="00B01EE6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Estas e outras informações podem ser conferidas aqui:</w:t>
      </w:r>
    </w:p>
    <w:p w:rsidR="00B01EE6" w:rsidRPr="00BF4A80" w:rsidRDefault="00B01EE6" w:rsidP="00B01EE6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BF4A80">
        <w:rPr>
          <w:rFonts w:ascii="Tahoma" w:eastAsia="Tahoma" w:hAnsi="Tahoma" w:cs="Tahoma"/>
          <w:b/>
          <w:sz w:val="22"/>
          <w:szCs w:val="22"/>
        </w:rPr>
        <w:t xml:space="preserve">- Lei Urbanística </w:t>
      </w:r>
    </w:p>
    <w:p w:rsidR="00B01EE6" w:rsidRDefault="00B01EE6" w:rsidP="00B01EE6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Mapa interativo:</w:t>
      </w:r>
    </w:p>
    <w:p w:rsidR="00B01EE6" w:rsidRDefault="00B01EE6" w:rsidP="00B01EE6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0"/>
          <w:szCs w:val="20"/>
        </w:rPr>
      </w:pPr>
      <w:hyperlink r:id="rId24" w:history="1">
        <w:r w:rsidRPr="000F7AB9">
          <w:rPr>
            <w:rStyle w:val="Hyperlink"/>
            <w:rFonts w:ascii="Tahoma" w:eastAsia="Tahoma" w:hAnsi="Tahoma" w:cs="Tahoma"/>
            <w:sz w:val="20"/>
            <w:szCs w:val="20"/>
          </w:rPr>
          <w:t>https://geoniteroi.maps.arcgis.com/apps/webappviewer/index.html?id=b186888f13ee4955a7d59ac1fc0e6a7e</w:t>
        </w:r>
      </w:hyperlink>
    </w:p>
    <w:p w:rsidR="00B01EE6" w:rsidRDefault="00B01EE6" w:rsidP="00B01EE6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Outras informações:</w:t>
      </w:r>
    </w:p>
    <w:p w:rsidR="00B01EE6" w:rsidRDefault="00B01EE6" w:rsidP="00B01EE6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0"/>
          <w:szCs w:val="20"/>
        </w:rPr>
      </w:pPr>
      <w:hyperlink r:id="rId25" w:history="1">
        <w:r w:rsidRPr="000F7AB9">
          <w:rPr>
            <w:rStyle w:val="Hyperlink"/>
            <w:rFonts w:ascii="Tahoma" w:eastAsia="Tahoma" w:hAnsi="Tahoma" w:cs="Tahoma"/>
            <w:sz w:val="20"/>
            <w:szCs w:val="20"/>
          </w:rPr>
          <w:t>https://urbanismo.niteroi.rj.gov.br/leiurbanistica.html</w:t>
        </w:r>
      </w:hyperlink>
    </w:p>
    <w:p w:rsidR="00B01EE6" w:rsidRDefault="00B01EE6" w:rsidP="00B01EE6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0"/>
          <w:szCs w:val="20"/>
        </w:rPr>
      </w:pPr>
    </w:p>
    <w:p w:rsidR="00B01EE6" w:rsidRDefault="00B01EE6" w:rsidP="00B01EE6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 w:rsidRPr="00BF4A80">
        <w:rPr>
          <w:rFonts w:ascii="Tahoma" w:eastAsia="Tahoma" w:hAnsi="Tahoma" w:cs="Tahoma"/>
          <w:b/>
          <w:sz w:val="22"/>
          <w:szCs w:val="22"/>
        </w:rPr>
        <w:t>- PUR Praias da Baía</w:t>
      </w:r>
    </w:p>
    <w:p w:rsidR="00B01EE6" w:rsidRDefault="00B01EE6" w:rsidP="00A05D8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hyperlink r:id="rId26" w:history="1">
        <w:r w:rsidRPr="000F7AB9">
          <w:rPr>
            <w:rStyle w:val="Hyperlink"/>
            <w:rFonts w:ascii="Tahoma" w:eastAsia="Tahoma" w:hAnsi="Tahoma" w:cs="Tahoma"/>
            <w:sz w:val="20"/>
            <w:szCs w:val="20"/>
          </w:rPr>
          <w:t>https://urbanismo.niteroi.rj.gov.br/legislacao.html</w:t>
        </w:r>
      </w:hyperlink>
      <w:bookmarkStart w:id="0" w:name="_GoBack"/>
      <w:bookmarkEnd w:id="0"/>
    </w:p>
    <w:p w:rsidR="0048287A" w:rsidRDefault="0048287A" w:rsidP="00A05D8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B01EE6" w:rsidRDefault="00B01EE6" w:rsidP="00A05D8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B043FD" w:rsidRDefault="00B043FD" w:rsidP="00A05D8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B043FD" w:rsidRDefault="005754FD" w:rsidP="00A05D8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Nossa emenda propõe </w:t>
      </w:r>
      <w:r w:rsidRPr="00B01EE6">
        <w:rPr>
          <w:rFonts w:ascii="Tahoma" w:eastAsia="Tahoma" w:hAnsi="Tahoma" w:cs="Tahoma"/>
          <w:b/>
          <w:sz w:val="22"/>
          <w:szCs w:val="22"/>
        </w:rPr>
        <w:t xml:space="preserve">redução de gabarito </w:t>
      </w:r>
      <w:r w:rsidR="00B01EE6" w:rsidRPr="00B01EE6">
        <w:rPr>
          <w:rFonts w:ascii="Tahoma" w:eastAsia="Tahoma" w:hAnsi="Tahoma" w:cs="Tahoma"/>
          <w:b/>
          <w:sz w:val="22"/>
          <w:szCs w:val="22"/>
        </w:rPr>
        <w:t>mantendo o mesmo</w:t>
      </w:r>
      <w:r w:rsidRPr="00B01EE6">
        <w:rPr>
          <w:rFonts w:ascii="Tahoma" w:eastAsia="Tahoma" w:hAnsi="Tahoma" w:cs="Tahoma"/>
          <w:b/>
          <w:sz w:val="22"/>
          <w:szCs w:val="22"/>
        </w:rPr>
        <w:t xml:space="preserve"> zoneamento</w:t>
      </w:r>
      <w:r>
        <w:rPr>
          <w:rFonts w:ascii="Tahoma" w:eastAsia="Tahoma" w:hAnsi="Tahoma" w:cs="Tahoma"/>
          <w:sz w:val="22"/>
          <w:szCs w:val="22"/>
        </w:rPr>
        <w:t xml:space="preserve">, como medida para </w:t>
      </w:r>
      <w:r w:rsidRPr="00B01EE6">
        <w:rPr>
          <w:rFonts w:ascii="Tahoma" w:eastAsia="Tahoma" w:hAnsi="Tahoma" w:cs="Tahoma"/>
          <w:b/>
          <w:sz w:val="22"/>
          <w:szCs w:val="22"/>
        </w:rPr>
        <w:t>implementar as diretrizes estabelecidas pelo Plano Diretor</w:t>
      </w:r>
      <w:r>
        <w:rPr>
          <w:rFonts w:ascii="Tahoma" w:eastAsia="Tahoma" w:hAnsi="Tahoma" w:cs="Tahoma"/>
          <w:sz w:val="22"/>
          <w:szCs w:val="22"/>
        </w:rPr>
        <w:t xml:space="preserve">, no sentido de </w:t>
      </w:r>
      <w:r w:rsidRPr="00B01EE6">
        <w:rPr>
          <w:rFonts w:ascii="Tahoma" w:eastAsia="Tahoma" w:hAnsi="Tahoma" w:cs="Tahoma"/>
          <w:b/>
          <w:sz w:val="22"/>
          <w:szCs w:val="22"/>
        </w:rPr>
        <w:t>minimizar</w:t>
      </w:r>
      <w:r w:rsidR="00B01EE6">
        <w:rPr>
          <w:rFonts w:ascii="Tahoma" w:eastAsia="Tahoma" w:hAnsi="Tahoma" w:cs="Tahoma"/>
          <w:sz w:val="22"/>
          <w:szCs w:val="22"/>
        </w:rPr>
        <w:t xml:space="preserve"> o </w:t>
      </w:r>
      <w:r w:rsidR="00B01EE6" w:rsidRPr="00B01EE6">
        <w:rPr>
          <w:rFonts w:ascii="Tahoma" w:eastAsia="Tahoma" w:hAnsi="Tahoma" w:cs="Tahoma"/>
          <w:b/>
          <w:sz w:val="22"/>
          <w:szCs w:val="22"/>
        </w:rPr>
        <w:t>adensamento e verticalização em áreas já saturadas</w:t>
      </w:r>
      <w:r w:rsidR="00B01EE6">
        <w:rPr>
          <w:rFonts w:ascii="Tahoma" w:eastAsia="Tahoma" w:hAnsi="Tahoma" w:cs="Tahoma"/>
          <w:sz w:val="22"/>
          <w:szCs w:val="22"/>
        </w:rPr>
        <w:t xml:space="preserve">, </w:t>
      </w:r>
      <w:r w:rsidR="00B01EE6">
        <w:rPr>
          <w:rFonts w:ascii="Tahoma" w:eastAsia="Tahoma" w:hAnsi="Tahoma" w:cs="Tahoma"/>
          <w:sz w:val="22"/>
          <w:szCs w:val="22"/>
        </w:rPr>
        <w:t>conforme imagem abaixo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BF4A80" w:rsidRDefault="00BF4A80" w:rsidP="00A05D8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sz w:val="22"/>
          <w:szCs w:val="22"/>
        </w:rPr>
      </w:pPr>
    </w:p>
    <w:p w:rsidR="00B01EE6" w:rsidRDefault="00B01EE6" w:rsidP="00B01EE6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5724525" cy="4144498"/>
            <wp:effectExtent l="0" t="0" r="0" b="889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OSSA PROPOSTA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307"/>
                    <a:stretch/>
                  </pic:blipFill>
                  <pic:spPr bwMode="auto">
                    <a:xfrm>
                      <a:off x="0" y="0"/>
                      <a:ext cx="5753277" cy="4165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3793" w:rsidRDefault="00EF3793" w:rsidP="00EF379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>Em face desses desafios, é imperativo adotar uma abordagem holística e sustentável para a urbanização</w:t>
      </w:r>
      <w:r>
        <w:rPr>
          <w:rFonts w:ascii="Tahoma" w:eastAsia="Tahoma" w:hAnsi="Tahoma" w:cs="Tahoma"/>
          <w:sz w:val="22"/>
          <w:szCs w:val="22"/>
        </w:rPr>
        <w:t>.</w:t>
      </w:r>
      <w:r w:rsidRPr="00470DB5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O planejamento, cuidadoso</w:t>
      </w:r>
      <w:r w:rsidRPr="00470DB5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que</w:t>
      </w:r>
      <w:r w:rsidRPr="00470DB5">
        <w:rPr>
          <w:rFonts w:ascii="Tahoma" w:eastAsia="Tahoma" w:hAnsi="Tahoma" w:cs="Tahoma"/>
          <w:sz w:val="22"/>
          <w:szCs w:val="22"/>
        </w:rPr>
        <w:t xml:space="preserve"> consider</w:t>
      </w:r>
      <w:r>
        <w:rPr>
          <w:rFonts w:ascii="Tahoma" w:eastAsia="Tahoma" w:hAnsi="Tahoma" w:cs="Tahoma"/>
          <w:sz w:val="22"/>
          <w:szCs w:val="22"/>
        </w:rPr>
        <w:t>e as externalidades promovidas por esta proposta de ordenamento do solo da cidade, é essencial</w:t>
      </w:r>
      <w:r w:rsidRPr="00470DB5">
        <w:rPr>
          <w:rFonts w:ascii="Tahoma" w:eastAsia="Tahoma" w:hAnsi="Tahoma" w:cs="Tahoma"/>
          <w:sz w:val="22"/>
          <w:szCs w:val="22"/>
        </w:rPr>
        <w:t xml:space="preserve"> para garantir o desenvolvimento urbano sem comprometer a segurança e a qualidade de vida das comunidades. Somente assim podemos construir cidades que resistam aos desafios do clima, promovendo um equilíbrio entre o desenvolvimento urbano e a preservação ambiental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EF3793" w:rsidRDefault="00EF3793" w:rsidP="00EF379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BF4A80" w:rsidRPr="00BF4A80" w:rsidRDefault="00EF3793" w:rsidP="00E330D4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rPr>
          <w:rFonts w:ascii="Tahoma" w:eastAsia="Tahoma" w:hAnsi="Tahoma" w:cs="Tahoma"/>
          <w:sz w:val="20"/>
          <w:szCs w:val="20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  <w:r w:rsidRPr="00864CFC">
        <w:rPr>
          <w:rFonts w:ascii="Tahoma" w:eastAsia="Tahoma" w:hAnsi="Tahoma" w:cs="Tahoma"/>
          <w:b/>
          <w:sz w:val="22"/>
          <w:szCs w:val="22"/>
        </w:rPr>
        <w:t xml:space="preserve">  </w:t>
      </w:r>
    </w:p>
    <w:sectPr w:rsidR="00BF4A80" w:rsidRPr="00BF4A80" w:rsidSect="00864CFC">
      <w:headerReference w:type="default" r:id="rId27"/>
      <w:footerReference w:type="default" r:id="rId28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6E3" w:rsidRDefault="004926E3">
      <w:r>
        <w:separator/>
      </w:r>
    </w:p>
  </w:endnote>
  <w:endnote w:type="continuationSeparator" w:id="0">
    <w:p w:rsidR="004926E3" w:rsidRDefault="00492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>
      <w:rPr>
        <w:rFonts w:ascii="Tahoma" w:hAnsi="Tahoma" w:cs="Tahoma"/>
        <w:b/>
        <w:i/>
        <w:color w:val="000000"/>
        <w:sz w:val="16"/>
        <w:szCs w:val="16"/>
      </w:rPr>
      <w:t xml:space="preserve"> 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6E3" w:rsidRDefault="004926E3">
      <w:r>
        <w:separator/>
      </w:r>
    </w:p>
  </w:footnote>
  <w:footnote w:type="continuationSeparator" w:id="0">
    <w:p w:rsidR="004926E3" w:rsidRDefault="00492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1"/>
      <w:tblW w:w="9648" w:type="dxa"/>
      <w:tblInd w:w="-6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40B6F"/>
    <w:multiLevelType w:val="multilevel"/>
    <w:tmpl w:val="BC2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1A2C25"/>
    <w:multiLevelType w:val="hybridMultilevel"/>
    <w:tmpl w:val="7B6E9FD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BC5EB5"/>
    <w:multiLevelType w:val="hybridMultilevel"/>
    <w:tmpl w:val="6DB4EC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127D99"/>
    <w:multiLevelType w:val="multilevel"/>
    <w:tmpl w:val="3C7A6CBC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5C6"/>
    <w:rsid w:val="00007F0D"/>
    <w:rsid w:val="0002285C"/>
    <w:rsid w:val="00055CDF"/>
    <w:rsid w:val="00064494"/>
    <w:rsid w:val="00085C8D"/>
    <w:rsid w:val="000A2B1F"/>
    <w:rsid w:val="000B24DF"/>
    <w:rsid w:val="000C6CAE"/>
    <w:rsid w:val="000F25DF"/>
    <w:rsid w:val="00101243"/>
    <w:rsid w:val="00131938"/>
    <w:rsid w:val="00133ECD"/>
    <w:rsid w:val="00143A90"/>
    <w:rsid w:val="001768E3"/>
    <w:rsid w:val="00181660"/>
    <w:rsid w:val="00190164"/>
    <w:rsid w:val="00197767"/>
    <w:rsid w:val="001A1DD3"/>
    <w:rsid w:val="001A28A2"/>
    <w:rsid w:val="001C3271"/>
    <w:rsid w:val="001F0B30"/>
    <w:rsid w:val="001F3CF6"/>
    <w:rsid w:val="001F3F52"/>
    <w:rsid w:val="00225EE1"/>
    <w:rsid w:val="00244FB4"/>
    <w:rsid w:val="002713BC"/>
    <w:rsid w:val="002725DA"/>
    <w:rsid w:val="002733B2"/>
    <w:rsid w:val="00273635"/>
    <w:rsid w:val="00284B22"/>
    <w:rsid w:val="002939EA"/>
    <w:rsid w:val="0029513E"/>
    <w:rsid w:val="002977F0"/>
    <w:rsid w:val="002A296E"/>
    <w:rsid w:val="002B4DE1"/>
    <w:rsid w:val="002D372E"/>
    <w:rsid w:val="002D4100"/>
    <w:rsid w:val="002F5270"/>
    <w:rsid w:val="00310580"/>
    <w:rsid w:val="003278E9"/>
    <w:rsid w:val="00330751"/>
    <w:rsid w:val="00334C73"/>
    <w:rsid w:val="00340D2F"/>
    <w:rsid w:val="00345968"/>
    <w:rsid w:val="0035394F"/>
    <w:rsid w:val="0035489A"/>
    <w:rsid w:val="003578CA"/>
    <w:rsid w:val="00364305"/>
    <w:rsid w:val="00375E54"/>
    <w:rsid w:val="003B27EB"/>
    <w:rsid w:val="003E4951"/>
    <w:rsid w:val="003F4B47"/>
    <w:rsid w:val="00415004"/>
    <w:rsid w:val="0043544E"/>
    <w:rsid w:val="0043577C"/>
    <w:rsid w:val="004365FC"/>
    <w:rsid w:val="00440E08"/>
    <w:rsid w:val="00453948"/>
    <w:rsid w:val="0048287A"/>
    <w:rsid w:val="00482D03"/>
    <w:rsid w:val="004844C1"/>
    <w:rsid w:val="00485A11"/>
    <w:rsid w:val="004926E3"/>
    <w:rsid w:val="004A46DA"/>
    <w:rsid w:val="004C4F69"/>
    <w:rsid w:val="004C7D18"/>
    <w:rsid w:val="004E4CE8"/>
    <w:rsid w:val="004E6C61"/>
    <w:rsid w:val="00506092"/>
    <w:rsid w:val="0052137E"/>
    <w:rsid w:val="0053015B"/>
    <w:rsid w:val="005333A6"/>
    <w:rsid w:val="00544CE5"/>
    <w:rsid w:val="00553BFF"/>
    <w:rsid w:val="00555DEE"/>
    <w:rsid w:val="005610BE"/>
    <w:rsid w:val="00564C07"/>
    <w:rsid w:val="005674B4"/>
    <w:rsid w:val="00567873"/>
    <w:rsid w:val="005754FD"/>
    <w:rsid w:val="00580F27"/>
    <w:rsid w:val="005C4B42"/>
    <w:rsid w:val="005D16A0"/>
    <w:rsid w:val="005D2F5C"/>
    <w:rsid w:val="005F7467"/>
    <w:rsid w:val="00601415"/>
    <w:rsid w:val="00611C33"/>
    <w:rsid w:val="006161AA"/>
    <w:rsid w:val="006241EF"/>
    <w:rsid w:val="006A7C96"/>
    <w:rsid w:val="006B640A"/>
    <w:rsid w:val="006C4245"/>
    <w:rsid w:val="006E7792"/>
    <w:rsid w:val="00700DC2"/>
    <w:rsid w:val="007177C8"/>
    <w:rsid w:val="00721AE5"/>
    <w:rsid w:val="007452F8"/>
    <w:rsid w:val="00755039"/>
    <w:rsid w:val="00766B79"/>
    <w:rsid w:val="00767D69"/>
    <w:rsid w:val="00785FCD"/>
    <w:rsid w:val="007A5869"/>
    <w:rsid w:val="007B3E64"/>
    <w:rsid w:val="007C26D4"/>
    <w:rsid w:val="007C2CE3"/>
    <w:rsid w:val="007C798A"/>
    <w:rsid w:val="007D23BE"/>
    <w:rsid w:val="007E21E5"/>
    <w:rsid w:val="0080696C"/>
    <w:rsid w:val="00811A39"/>
    <w:rsid w:val="0081529B"/>
    <w:rsid w:val="00824D42"/>
    <w:rsid w:val="00854F23"/>
    <w:rsid w:val="00864CFC"/>
    <w:rsid w:val="00877A54"/>
    <w:rsid w:val="00880332"/>
    <w:rsid w:val="008832EC"/>
    <w:rsid w:val="008965B6"/>
    <w:rsid w:val="008E00F6"/>
    <w:rsid w:val="009030FA"/>
    <w:rsid w:val="0091515F"/>
    <w:rsid w:val="00915CF8"/>
    <w:rsid w:val="009203CB"/>
    <w:rsid w:val="00934AB0"/>
    <w:rsid w:val="00935467"/>
    <w:rsid w:val="0093647C"/>
    <w:rsid w:val="009418E7"/>
    <w:rsid w:val="00956B3A"/>
    <w:rsid w:val="00977D40"/>
    <w:rsid w:val="00994B30"/>
    <w:rsid w:val="009955A0"/>
    <w:rsid w:val="009A162A"/>
    <w:rsid w:val="009A2F59"/>
    <w:rsid w:val="009B2868"/>
    <w:rsid w:val="009B5B49"/>
    <w:rsid w:val="009C4038"/>
    <w:rsid w:val="009D74D6"/>
    <w:rsid w:val="009E09E6"/>
    <w:rsid w:val="00A05D85"/>
    <w:rsid w:val="00A1394F"/>
    <w:rsid w:val="00A1467A"/>
    <w:rsid w:val="00A55FA0"/>
    <w:rsid w:val="00A847D3"/>
    <w:rsid w:val="00A9777C"/>
    <w:rsid w:val="00AE2019"/>
    <w:rsid w:val="00B01EE6"/>
    <w:rsid w:val="00B043FD"/>
    <w:rsid w:val="00B1492F"/>
    <w:rsid w:val="00B168DF"/>
    <w:rsid w:val="00B30BD6"/>
    <w:rsid w:val="00B36CA8"/>
    <w:rsid w:val="00B54E22"/>
    <w:rsid w:val="00B761E4"/>
    <w:rsid w:val="00BF4A80"/>
    <w:rsid w:val="00C0276D"/>
    <w:rsid w:val="00C37659"/>
    <w:rsid w:val="00C5481B"/>
    <w:rsid w:val="00C574DB"/>
    <w:rsid w:val="00C57719"/>
    <w:rsid w:val="00C76255"/>
    <w:rsid w:val="00C914A1"/>
    <w:rsid w:val="00CA635D"/>
    <w:rsid w:val="00CC754C"/>
    <w:rsid w:val="00CD31D4"/>
    <w:rsid w:val="00CF24ED"/>
    <w:rsid w:val="00CF6914"/>
    <w:rsid w:val="00D03E75"/>
    <w:rsid w:val="00D0404D"/>
    <w:rsid w:val="00D06A54"/>
    <w:rsid w:val="00D127F5"/>
    <w:rsid w:val="00D23FEC"/>
    <w:rsid w:val="00D2505E"/>
    <w:rsid w:val="00D36CA0"/>
    <w:rsid w:val="00D40DFF"/>
    <w:rsid w:val="00D53543"/>
    <w:rsid w:val="00D551A5"/>
    <w:rsid w:val="00D60A0C"/>
    <w:rsid w:val="00D67619"/>
    <w:rsid w:val="00D73C14"/>
    <w:rsid w:val="00DB0212"/>
    <w:rsid w:val="00DB03F8"/>
    <w:rsid w:val="00DC30F3"/>
    <w:rsid w:val="00DE2DD7"/>
    <w:rsid w:val="00E021A2"/>
    <w:rsid w:val="00E04E04"/>
    <w:rsid w:val="00E06598"/>
    <w:rsid w:val="00E24F5C"/>
    <w:rsid w:val="00E27ED4"/>
    <w:rsid w:val="00E330D4"/>
    <w:rsid w:val="00E40628"/>
    <w:rsid w:val="00E5441A"/>
    <w:rsid w:val="00E54618"/>
    <w:rsid w:val="00E842ED"/>
    <w:rsid w:val="00EB25C6"/>
    <w:rsid w:val="00EB563B"/>
    <w:rsid w:val="00EC3278"/>
    <w:rsid w:val="00ED2532"/>
    <w:rsid w:val="00EF3793"/>
    <w:rsid w:val="00F008B1"/>
    <w:rsid w:val="00F0535A"/>
    <w:rsid w:val="00F208DE"/>
    <w:rsid w:val="00F40A4F"/>
    <w:rsid w:val="00F41E8A"/>
    <w:rsid w:val="00F5053A"/>
    <w:rsid w:val="00F63427"/>
    <w:rsid w:val="00F66DF0"/>
    <w:rsid w:val="00F96104"/>
    <w:rsid w:val="00FA36A0"/>
    <w:rsid w:val="00FB6F6B"/>
    <w:rsid w:val="00FD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0134FE-C241-48D0-8B9A-BBDBFE49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microsoft.com/office/2007/relationships/hdphoto" Target="media/hdphoto4.wdp"/><Relationship Id="rId26" Type="http://schemas.openxmlformats.org/officeDocument/2006/relationships/hyperlink" Target="https://urbanismo.niteroi.rj.gov.br/legislacao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s://urbanismo.niteroi.rj.gov.br/leiurbanistica.html" TargetMode="Externa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microsoft.com/office/2007/relationships/hdphoto" Target="media/hdphoto5.wdp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geoniteroi.maps.arcgis.com/apps/webappviewer/index.html?id=b186888f13ee4955a7d59ac1fc0e6a7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footer" Target="footer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microsoft.com/office/2007/relationships/hdphoto" Target="media/hdphoto6.wdp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1516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Lessa</dc:creator>
  <cp:keywords/>
  <dc:description/>
  <cp:lastModifiedBy>Ver Daniel Marques</cp:lastModifiedBy>
  <cp:revision>3</cp:revision>
  <cp:lastPrinted>2024-02-20T17:53:00Z</cp:lastPrinted>
  <dcterms:created xsi:type="dcterms:W3CDTF">2024-02-20T17:52:00Z</dcterms:created>
  <dcterms:modified xsi:type="dcterms:W3CDTF">2024-02-20T18:07:00Z</dcterms:modified>
</cp:coreProperties>
</file>