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826C6" w:rsidRDefault="006826C6">
      <w:pPr>
        <w:pStyle w:val="Ttulo1"/>
        <w:tabs>
          <w:tab w:val="left" w:pos="1133"/>
          <w:tab w:val="center" w:pos="4818"/>
          <w:tab w:val="left" w:pos="11196"/>
        </w:tabs>
        <w:ind w:left="0"/>
        <w:jc w:val="left"/>
        <w:rPr>
          <w:rFonts w:ascii="Tahoma" w:eastAsia="Tahoma" w:hAnsi="Tahoma" w:cs="Tahoma"/>
          <w:b/>
        </w:rPr>
      </w:pPr>
    </w:p>
    <w:p w:rsidR="006826C6" w:rsidRDefault="001602F3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6826C6" w:rsidRDefault="006826C6">
      <w:pPr>
        <w:rPr>
          <w:rFonts w:ascii="Tahoma" w:eastAsia="Tahoma" w:hAnsi="Tahoma" w:cs="Tahoma"/>
          <w:b/>
        </w:rPr>
      </w:pPr>
    </w:p>
    <w:p w:rsidR="006826C6" w:rsidRDefault="001602F3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  <w:r>
        <w:rPr>
          <w:rFonts w:ascii="Tahoma" w:eastAsia="Tahoma" w:hAnsi="Tahoma" w:cs="Tahoma"/>
        </w:rPr>
        <w:t xml:space="preserve">                   </w:t>
      </w:r>
    </w:p>
    <w:p w:rsidR="006826C6" w:rsidRDefault="001602F3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6826C6" w:rsidRDefault="006826C6">
      <w:pPr>
        <w:jc w:val="center"/>
        <w:rPr>
          <w:rFonts w:ascii="Tahoma" w:eastAsia="Tahoma" w:hAnsi="Tahoma" w:cs="Tahoma"/>
        </w:rPr>
      </w:pPr>
    </w:p>
    <w:p w:rsidR="006826C6" w:rsidRDefault="001602F3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 o Mapa </w:t>
      </w:r>
      <w:proofErr w:type="gramStart"/>
      <w:r>
        <w:rPr>
          <w:rFonts w:ascii="Tahoma" w:eastAsia="Tahoma" w:hAnsi="Tahoma" w:cs="Tahoma"/>
          <w:b/>
          <w:sz w:val="22"/>
          <w:szCs w:val="22"/>
        </w:rPr>
        <w:t>1</w:t>
      </w:r>
      <w:proofErr w:type="gramEnd"/>
      <w:r>
        <w:rPr>
          <w:rFonts w:ascii="Tahoma" w:eastAsia="Tahoma" w:hAnsi="Tahoma" w:cs="Tahoma"/>
          <w:b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 xml:space="preserve">do Projeto de Lei Nº 221/2023, Lei Urbanística de Niterói, seu zoneamento, a aplicação de instrumentos de política urbana e as regras gerais de licenciamento da atividade edilícia e de fiscalização da execução de </w:t>
      </w:r>
      <w:proofErr w:type="gramStart"/>
      <w:r>
        <w:rPr>
          <w:rFonts w:ascii="Tahoma" w:eastAsia="Tahoma" w:hAnsi="Tahoma" w:cs="Tahoma"/>
          <w:sz w:val="22"/>
          <w:szCs w:val="22"/>
        </w:rPr>
        <w:t>obras</w:t>
      </w:r>
      <w:proofErr w:type="gramEnd"/>
      <w:r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6826C6" w:rsidRDefault="006826C6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6826C6" w:rsidRDefault="001602F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- Modifica o Mapa </w:t>
      </w:r>
      <w:proofErr w:type="gramStart"/>
      <w:r>
        <w:rPr>
          <w:rFonts w:ascii="Tahoma" w:eastAsia="Tahoma" w:hAnsi="Tahoma" w:cs="Tahoma"/>
          <w:b/>
          <w:sz w:val="22"/>
          <w:szCs w:val="22"/>
        </w:rPr>
        <w:t>1</w:t>
      </w:r>
      <w:proofErr w:type="gramEnd"/>
      <w:r>
        <w:rPr>
          <w:rFonts w:ascii="Tahoma" w:eastAsia="Tahoma" w:hAnsi="Tahoma" w:cs="Tahoma"/>
          <w:b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do Proje</w:t>
      </w:r>
      <w:r>
        <w:rPr>
          <w:rFonts w:ascii="Tahoma" w:eastAsia="Tahoma" w:hAnsi="Tahoma" w:cs="Tahoma"/>
          <w:sz w:val="22"/>
          <w:szCs w:val="22"/>
        </w:rPr>
        <w:t xml:space="preserve">to de Lei Nº 221/2023, Lei Urbanística de Niterói, seu zoneamento, a aplicação de instrumentos de política urbana e as regras gerais de licenciamento da atividade edilícia e de fiscalização da execução de obras, alterando o gabarito da </w:t>
      </w:r>
      <w:r>
        <w:rPr>
          <w:rFonts w:ascii="Tahoma" w:eastAsia="Tahoma" w:hAnsi="Tahoma" w:cs="Tahoma"/>
          <w:b/>
          <w:sz w:val="22"/>
          <w:szCs w:val="22"/>
        </w:rPr>
        <w:t xml:space="preserve">ZEU+11 </w:t>
      </w:r>
      <w:r>
        <w:rPr>
          <w:rFonts w:ascii="Tahoma" w:eastAsia="Tahoma" w:hAnsi="Tahoma" w:cs="Tahoma"/>
          <w:sz w:val="22"/>
          <w:szCs w:val="22"/>
        </w:rPr>
        <w:t>que se estend</w:t>
      </w:r>
      <w:r>
        <w:rPr>
          <w:rFonts w:ascii="Tahoma" w:eastAsia="Tahoma" w:hAnsi="Tahoma" w:cs="Tahoma"/>
          <w:sz w:val="22"/>
          <w:szCs w:val="22"/>
        </w:rPr>
        <w:t xml:space="preserve">e pelos bairros do Cubango e Fonseca, para </w:t>
      </w:r>
      <w:r>
        <w:rPr>
          <w:rFonts w:ascii="Tahoma" w:eastAsia="Tahoma" w:hAnsi="Tahoma" w:cs="Tahoma"/>
          <w:b/>
          <w:sz w:val="22"/>
          <w:szCs w:val="22"/>
        </w:rPr>
        <w:t>ZEU+6</w:t>
      </w:r>
      <w:r>
        <w:rPr>
          <w:rFonts w:ascii="Tahoma" w:eastAsia="Tahoma" w:hAnsi="Tahoma" w:cs="Tahoma"/>
          <w:sz w:val="22"/>
          <w:szCs w:val="22"/>
        </w:rPr>
        <w:t>, conforme mapa abaixo:</w:t>
      </w:r>
    </w:p>
    <w:p w:rsidR="006826C6" w:rsidRDefault="001602F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3899817" cy="2448001"/>
            <wp:effectExtent l="0" t="0" r="0" b="0"/>
            <wp:docPr id="2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9817" cy="24480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826C6" w:rsidRDefault="006826C6">
      <w:pPr>
        <w:jc w:val="center"/>
        <w:rPr>
          <w:rFonts w:ascii="Tahoma" w:eastAsia="Tahoma" w:hAnsi="Tahoma" w:cs="Tahoma"/>
          <w:sz w:val="22"/>
          <w:szCs w:val="22"/>
        </w:rPr>
      </w:pPr>
    </w:p>
    <w:p w:rsidR="006826C6" w:rsidRDefault="001602F3">
      <w:pPr>
        <w:jc w:val="right"/>
        <w:rPr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Sala das Sessões, 15 de fevereiro de 2024.</w:t>
      </w:r>
    </w:p>
    <w:p w:rsidR="006826C6" w:rsidRDefault="006826C6">
      <w:pPr>
        <w:jc w:val="both"/>
        <w:rPr>
          <w:sz w:val="22"/>
          <w:szCs w:val="22"/>
        </w:rPr>
      </w:pPr>
    </w:p>
    <w:p w:rsidR="006826C6" w:rsidRDefault="006826C6">
      <w:pPr>
        <w:jc w:val="both"/>
        <w:rPr>
          <w:sz w:val="22"/>
          <w:szCs w:val="22"/>
        </w:rPr>
      </w:pPr>
    </w:p>
    <w:p w:rsidR="006826C6" w:rsidRDefault="006826C6">
      <w:pPr>
        <w:jc w:val="both"/>
        <w:rPr>
          <w:sz w:val="22"/>
          <w:szCs w:val="22"/>
        </w:rPr>
      </w:pPr>
    </w:p>
    <w:p w:rsidR="006826C6" w:rsidRDefault="001602F3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6826C6" w:rsidRDefault="001602F3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6826C6" w:rsidRDefault="001602F3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Vereador</w:t>
      </w:r>
    </w:p>
    <w:p w:rsidR="006826C6" w:rsidRDefault="001602F3">
      <w:pPr>
        <w:shd w:val="clear" w:color="auto" w:fill="FFFFFF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  <w:r>
        <w:rPr>
          <w:rFonts w:ascii="Tahoma" w:eastAsia="Tahoma" w:hAnsi="Tahoma" w:cs="Tahoma"/>
          <w:sz w:val="22"/>
          <w:szCs w:val="22"/>
        </w:rPr>
        <w:t xml:space="preserve">  </w:t>
      </w:r>
    </w:p>
    <w:p w:rsidR="006826C6" w:rsidRDefault="006826C6">
      <w:pPr>
        <w:shd w:val="clear" w:color="auto" w:fill="FFFFFF"/>
        <w:jc w:val="both"/>
        <w:rPr>
          <w:rFonts w:ascii="Tahoma" w:eastAsia="Tahoma" w:hAnsi="Tahoma" w:cs="Tahoma"/>
          <w:sz w:val="18"/>
          <w:szCs w:val="18"/>
        </w:rPr>
      </w:pPr>
    </w:p>
    <w:p w:rsidR="006826C6" w:rsidRDefault="001602F3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 </w:t>
      </w:r>
      <w:r>
        <w:rPr>
          <w:rFonts w:ascii="Tahoma" w:eastAsia="Tahoma" w:hAnsi="Tahoma" w:cs="Tahoma"/>
          <w:b/>
          <w:sz w:val="22"/>
          <w:szCs w:val="22"/>
        </w:rPr>
        <w:t>censo demográfico de 2022</w:t>
      </w:r>
      <w:r>
        <w:rPr>
          <w:rFonts w:ascii="Tahoma" w:eastAsia="Tahoma" w:hAnsi="Tahoma" w:cs="Tahoma"/>
          <w:sz w:val="22"/>
          <w:szCs w:val="22"/>
        </w:rPr>
        <w:t xml:space="preserve"> que corrobora com a projeção da </w:t>
      </w:r>
      <w:r>
        <w:rPr>
          <w:rFonts w:ascii="Tahoma" w:eastAsia="Tahoma" w:hAnsi="Tahoma" w:cs="Tahoma"/>
          <w:b/>
          <w:sz w:val="22"/>
          <w:szCs w:val="22"/>
        </w:rPr>
        <w:t>diminuição da população</w:t>
      </w:r>
      <w:r>
        <w:rPr>
          <w:rFonts w:ascii="Tahoma" w:eastAsia="Tahoma" w:hAnsi="Tahoma" w:cs="Tahoma"/>
          <w:sz w:val="22"/>
          <w:szCs w:val="22"/>
        </w:rPr>
        <w:t xml:space="preserve"> no município de Niterói, apresentada no diagnóstico realizado pela Fundação Getúlio Vargas a fim de orientar a elaboração do Plano Diretor de 2019, não vemos outra explicação para </w:t>
      </w:r>
      <w:r>
        <w:rPr>
          <w:rFonts w:ascii="Tahoma" w:eastAsia="Tahoma" w:hAnsi="Tahoma" w:cs="Tahoma"/>
          <w:b/>
          <w:sz w:val="22"/>
          <w:szCs w:val="22"/>
        </w:rPr>
        <w:t xml:space="preserve">a manutenção ou </w:t>
      </w:r>
      <w:proofErr w:type="gramStart"/>
      <w:r>
        <w:rPr>
          <w:rFonts w:ascii="Tahoma" w:eastAsia="Tahoma" w:hAnsi="Tahoma" w:cs="Tahoma"/>
          <w:b/>
          <w:sz w:val="22"/>
          <w:szCs w:val="22"/>
        </w:rPr>
        <w:t>imp</w:t>
      </w:r>
      <w:r>
        <w:rPr>
          <w:rFonts w:ascii="Tahoma" w:eastAsia="Tahoma" w:hAnsi="Tahoma" w:cs="Tahoma"/>
          <w:b/>
          <w:sz w:val="22"/>
          <w:szCs w:val="22"/>
        </w:rPr>
        <w:t>lementação</w:t>
      </w:r>
      <w:proofErr w:type="gramEnd"/>
      <w:r>
        <w:rPr>
          <w:rFonts w:ascii="Tahoma" w:eastAsia="Tahoma" w:hAnsi="Tahoma" w:cs="Tahoma"/>
          <w:b/>
          <w:sz w:val="22"/>
          <w:szCs w:val="22"/>
        </w:rPr>
        <w:t xml:space="preserve"> de adensamento demográfico</w:t>
      </w:r>
      <w:r>
        <w:rPr>
          <w:rFonts w:ascii="Tahoma" w:eastAsia="Tahoma" w:hAnsi="Tahoma" w:cs="Tahoma"/>
          <w:sz w:val="22"/>
          <w:szCs w:val="22"/>
        </w:rPr>
        <w:t xml:space="preserve"> proposto pelo </w:t>
      </w:r>
      <w:r>
        <w:rPr>
          <w:rFonts w:ascii="Tahoma" w:eastAsia="Tahoma" w:hAnsi="Tahoma" w:cs="Tahoma"/>
          <w:b/>
          <w:sz w:val="22"/>
          <w:szCs w:val="22"/>
        </w:rPr>
        <w:t>Projeto de Lei 221/2023</w:t>
      </w:r>
      <w:r>
        <w:rPr>
          <w:rFonts w:ascii="Tahoma" w:eastAsia="Tahoma" w:hAnsi="Tahoma" w:cs="Tahoma"/>
          <w:sz w:val="22"/>
          <w:szCs w:val="22"/>
        </w:rPr>
        <w:t xml:space="preserve">, se não a promoção da </w:t>
      </w:r>
      <w:proofErr w:type="spellStart"/>
      <w:r>
        <w:rPr>
          <w:rFonts w:ascii="Tahoma" w:eastAsia="Tahoma" w:hAnsi="Tahoma" w:cs="Tahoma"/>
          <w:sz w:val="22"/>
          <w:szCs w:val="22"/>
        </w:rPr>
        <w:t>financeirização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da produção habitacional voltada para o </w:t>
      </w:r>
      <w:proofErr w:type="spellStart"/>
      <w:r>
        <w:rPr>
          <w:rFonts w:ascii="Tahoma" w:eastAsia="Tahoma" w:hAnsi="Tahoma" w:cs="Tahoma"/>
          <w:sz w:val="22"/>
          <w:szCs w:val="22"/>
        </w:rPr>
        <w:t>rentismo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e a especulação imobiliária; e a promoção da segregação </w:t>
      </w:r>
      <w:proofErr w:type="spellStart"/>
      <w:r>
        <w:rPr>
          <w:rFonts w:ascii="Tahoma" w:eastAsia="Tahoma" w:hAnsi="Tahoma" w:cs="Tahoma"/>
          <w:sz w:val="22"/>
          <w:szCs w:val="22"/>
        </w:rPr>
        <w:t>sócioespacial</w:t>
      </w:r>
      <w:proofErr w:type="spellEnd"/>
      <w:r>
        <w:rPr>
          <w:rFonts w:ascii="Tahoma" w:eastAsia="Tahoma" w:hAnsi="Tahoma" w:cs="Tahoma"/>
          <w:sz w:val="22"/>
          <w:szCs w:val="22"/>
        </w:rPr>
        <w:t>, ocasionada pela sistem</w:t>
      </w:r>
      <w:r>
        <w:rPr>
          <w:rFonts w:ascii="Tahoma" w:eastAsia="Tahoma" w:hAnsi="Tahoma" w:cs="Tahoma"/>
          <w:sz w:val="22"/>
          <w:szCs w:val="22"/>
        </w:rPr>
        <w:t>ática troca do perfil de habitantes do município, empurrando para as bordas da cidade e para outros municípios a população que não se enquadra no perfil de mais alto poder aquisitivo.</w:t>
      </w:r>
    </w:p>
    <w:p w:rsidR="006826C6" w:rsidRDefault="006826C6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6826C6" w:rsidRDefault="001602F3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Como cita o supracitado </w:t>
      </w:r>
      <w:r>
        <w:rPr>
          <w:rFonts w:ascii="Tahoma" w:eastAsia="Tahoma" w:hAnsi="Tahoma" w:cs="Tahoma"/>
          <w:b/>
          <w:sz w:val="22"/>
          <w:szCs w:val="22"/>
        </w:rPr>
        <w:t>diagnóstico</w:t>
      </w:r>
      <w:r>
        <w:rPr>
          <w:rFonts w:ascii="Tahoma" w:eastAsia="Tahoma" w:hAnsi="Tahoma" w:cs="Tahoma"/>
          <w:sz w:val="22"/>
          <w:szCs w:val="22"/>
        </w:rPr>
        <w:t xml:space="preserve"> realizado pela </w:t>
      </w:r>
      <w:r>
        <w:rPr>
          <w:rFonts w:ascii="Tahoma" w:eastAsia="Tahoma" w:hAnsi="Tahoma" w:cs="Tahoma"/>
          <w:b/>
          <w:sz w:val="22"/>
          <w:szCs w:val="22"/>
        </w:rPr>
        <w:t>FGV</w:t>
      </w:r>
      <w:r>
        <w:rPr>
          <w:rFonts w:ascii="Tahoma" w:eastAsia="Tahoma" w:hAnsi="Tahoma" w:cs="Tahoma"/>
          <w:sz w:val="22"/>
          <w:szCs w:val="22"/>
        </w:rPr>
        <w:t xml:space="preserve"> em 2014:</w:t>
      </w:r>
    </w:p>
    <w:p w:rsidR="006826C6" w:rsidRDefault="006826C6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6826C6" w:rsidRDefault="001602F3">
      <w:pPr>
        <w:spacing w:line="360" w:lineRule="auto"/>
        <w:ind w:left="288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“(...)</w:t>
      </w:r>
      <w:r>
        <w:rPr>
          <w:rFonts w:ascii="Tahoma" w:eastAsia="Tahoma" w:hAnsi="Tahoma" w:cs="Tahoma"/>
          <w:sz w:val="20"/>
          <w:szCs w:val="20"/>
        </w:rPr>
        <w:t xml:space="preserve"> a taxa de crescimento da população foi inferior à taxa de crescimento dos domicílios particulares, o que pode significar </w:t>
      </w:r>
      <w:r>
        <w:rPr>
          <w:rFonts w:ascii="Tahoma" w:eastAsia="Tahoma" w:hAnsi="Tahoma" w:cs="Tahoma"/>
          <w:b/>
          <w:sz w:val="20"/>
          <w:szCs w:val="20"/>
        </w:rPr>
        <w:t xml:space="preserve">a existência de um estoque de moradias, </w:t>
      </w:r>
      <w:r>
        <w:rPr>
          <w:rFonts w:ascii="Tahoma" w:eastAsia="Tahoma" w:hAnsi="Tahoma" w:cs="Tahoma"/>
          <w:sz w:val="20"/>
          <w:szCs w:val="20"/>
        </w:rPr>
        <w:t>em princípio não disponíveis à população de baixa renda,</w:t>
      </w:r>
      <w:r>
        <w:rPr>
          <w:rFonts w:ascii="Tahoma" w:eastAsia="Tahoma" w:hAnsi="Tahoma" w:cs="Tahoma"/>
          <w:b/>
          <w:sz w:val="20"/>
          <w:szCs w:val="20"/>
        </w:rPr>
        <w:t xml:space="preserve"> nas regiões que apresentam melhor pad</w:t>
      </w:r>
      <w:r>
        <w:rPr>
          <w:rFonts w:ascii="Tahoma" w:eastAsia="Tahoma" w:hAnsi="Tahoma" w:cs="Tahoma"/>
          <w:b/>
          <w:sz w:val="20"/>
          <w:szCs w:val="20"/>
        </w:rPr>
        <w:t>rão de renda</w:t>
      </w:r>
      <w:r>
        <w:rPr>
          <w:rFonts w:ascii="Tahoma" w:eastAsia="Tahoma" w:hAnsi="Tahoma" w:cs="Tahoma"/>
          <w:sz w:val="20"/>
          <w:szCs w:val="20"/>
        </w:rPr>
        <w:t>”.</w:t>
      </w:r>
    </w:p>
    <w:p w:rsidR="006826C6" w:rsidRDefault="006826C6">
      <w:pPr>
        <w:spacing w:line="360" w:lineRule="auto"/>
        <w:ind w:left="2880"/>
        <w:jc w:val="both"/>
        <w:rPr>
          <w:rFonts w:ascii="Tahoma" w:eastAsia="Tahoma" w:hAnsi="Tahoma" w:cs="Tahoma"/>
          <w:sz w:val="20"/>
          <w:szCs w:val="20"/>
        </w:rPr>
      </w:pPr>
    </w:p>
    <w:p w:rsidR="006826C6" w:rsidRDefault="001602F3">
      <w:pPr>
        <w:spacing w:line="360" w:lineRule="auto"/>
        <w:ind w:firstLine="720"/>
        <w:jc w:val="both"/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sz w:val="22"/>
          <w:szCs w:val="22"/>
        </w:rPr>
        <w:t xml:space="preserve">Desta forma, elencaremos a seguir algumas das externalidades que a verticalização proposta poderá ocasionar nestas porções dos bairros de Santa Rosa, Cubango e Fonseca e no seu entorno imediato. </w:t>
      </w:r>
      <w:r>
        <w:rPr>
          <w:rFonts w:ascii="Tahoma" w:eastAsia="Tahoma" w:hAnsi="Tahoma" w:cs="Tahoma"/>
          <w:b/>
          <w:noProof/>
          <w:sz w:val="18"/>
          <w:szCs w:val="18"/>
          <w:lang w:eastAsia="pt-BR"/>
        </w:rPr>
        <w:lastRenderedPageBreak/>
        <w:drawing>
          <wp:inline distT="0" distB="0" distL="0" distR="0">
            <wp:extent cx="6587288" cy="3836127"/>
            <wp:effectExtent l="0" t="0" r="0" b="0"/>
            <wp:docPr id="3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87288" cy="38361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b/>
          <w:sz w:val="18"/>
          <w:szCs w:val="18"/>
        </w:rPr>
        <w:t xml:space="preserve">   </w:t>
      </w:r>
    </w:p>
    <w:p w:rsidR="006826C6" w:rsidRDefault="001602F3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>
        <w:rPr>
          <w:rFonts w:ascii="Tahoma" w:eastAsia="Tahoma" w:hAnsi="Tahoma" w:cs="Tahoma"/>
          <w:color w:val="000000"/>
          <w:sz w:val="18"/>
          <w:szCs w:val="18"/>
        </w:rPr>
        <w:t>Projeto de Lei 221/2023</w:t>
      </w:r>
    </w:p>
    <w:p w:rsidR="006826C6" w:rsidRDefault="001602F3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18"/>
          <w:szCs w:val="18"/>
        </w:rPr>
        <w:t xml:space="preserve"> Fonte: Secretaria Municipal de Urbanismo e Mobilidade. Imagem gerada em 08/02/2024.</w:t>
      </w:r>
    </w:p>
    <w:p w:rsidR="006826C6" w:rsidRDefault="006826C6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826C6" w:rsidRDefault="001602F3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Conforme a diretriz estabelecida pelo Plano Diretor de 2019 quanto à </w:t>
      </w:r>
      <w:proofErr w:type="spellStart"/>
      <w:r>
        <w:rPr>
          <w:rFonts w:ascii="Tahoma" w:eastAsia="Tahoma" w:hAnsi="Tahoma" w:cs="Tahoma"/>
          <w:sz w:val="22"/>
          <w:szCs w:val="22"/>
        </w:rPr>
        <w:t>Macroárea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de Urbanização Consolidada, onde: </w:t>
      </w:r>
    </w:p>
    <w:p w:rsidR="006826C6" w:rsidRDefault="001602F3">
      <w:pPr>
        <w:spacing w:line="360" w:lineRule="auto"/>
        <w:ind w:left="288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“Art. 16. A </w:t>
      </w:r>
      <w:proofErr w:type="spellStart"/>
      <w:r>
        <w:rPr>
          <w:rFonts w:ascii="Tahoma" w:eastAsia="Tahoma" w:hAnsi="Tahoma" w:cs="Tahoma"/>
          <w:b/>
          <w:sz w:val="20"/>
          <w:szCs w:val="20"/>
        </w:rPr>
        <w:t>Macroárea</w:t>
      </w:r>
      <w:proofErr w:type="spellEnd"/>
      <w:r>
        <w:rPr>
          <w:rFonts w:ascii="Tahoma" w:eastAsia="Tahoma" w:hAnsi="Tahoma" w:cs="Tahoma"/>
          <w:b/>
          <w:sz w:val="20"/>
          <w:szCs w:val="20"/>
        </w:rPr>
        <w:t xml:space="preserve"> de Urbanização Consolidada</w:t>
      </w:r>
      <w:r>
        <w:rPr>
          <w:rFonts w:ascii="Tahoma" w:eastAsia="Tahoma" w:hAnsi="Tahoma" w:cs="Tahoma"/>
          <w:sz w:val="20"/>
          <w:szCs w:val="20"/>
        </w:rPr>
        <w:t xml:space="preserve"> compree</w:t>
      </w:r>
      <w:r>
        <w:rPr>
          <w:rFonts w:ascii="Tahoma" w:eastAsia="Tahoma" w:hAnsi="Tahoma" w:cs="Tahoma"/>
          <w:sz w:val="20"/>
          <w:szCs w:val="20"/>
        </w:rPr>
        <w:t>nde as áreas de mais antiga</w:t>
      </w:r>
      <w:r>
        <w:rPr>
          <w:rFonts w:ascii="Tahoma" w:eastAsia="Tahoma" w:hAnsi="Tahoma" w:cs="Tahoma"/>
          <w:sz w:val="20"/>
          <w:szCs w:val="20"/>
        </w:rPr>
        <w:br/>
        <w:t>ocupação, (...) caracterizada pela relação de proximidade com o Centro, padrão elevado de urbanização, forte saturação viária, diversidade de oportunidades de empregos e serviços é formada por bairros residenciais com variada me</w:t>
      </w:r>
      <w:r>
        <w:rPr>
          <w:rFonts w:ascii="Tahoma" w:eastAsia="Tahoma" w:hAnsi="Tahoma" w:cs="Tahoma"/>
          <w:sz w:val="20"/>
          <w:szCs w:val="20"/>
        </w:rPr>
        <w:t xml:space="preserve">scla de usos, sobretudo serviços e comércio </w:t>
      </w:r>
    </w:p>
    <w:p w:rsidR="006826C6" w:rsidRDefault="001602F3">
      <w:pPr>
        <w:spacing w:line="360" w:lineRule="auto"/>
        <w:ind w:left="288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(...</w:t>
      </w:r>
      <w:proofErr w:type="gramStart"/>
      <w:r>
        <w:rPr>
          <w:rFonts w:ascii="Tahoma" w:eastAsia="Tahoma" w:hAnsi="Tahoma" w:cs="Tahoma"/>
          <w:sz w:val="20"/>
          <w:szCs w:val="20"/>
        </w:rPr>
        <w:t>)</w:t>
      </w:r>
      <w:proofErr w:type="gramEnd"/>
      <w:r>
        <w:rPr>
          <w:rFonts w:ascii="Tahoma" w:eastAsia="Tahoma" w:hAnsi="Tahoma" w:cs="Tahoma"/>
          <w:sz w:val="20"/>
          <w:szCs w:val="20"/>
        </w:rPr>
        <w:br/>
        <w:t xml:space="preserve">§ 2º São </w:t>
      </w:r>
      <w:r>
        <w:rPr>
          <w:rFonts w:ascii="Tahoma" w:eastAsia="Tahoma" w:hAnsi="Tahoma" w:cs="Tahoma"/>
          <w:b/>
          <w:sz w:val="20"/>
          <w:szCs w:val="20"/>
        </w:rPr>
        <w:t xml:space="preserve">objetivos específicos da </w:t>
      </w:r>
      <w:proofErr w:type="spellStart"/>
      <w:r>
        <w:rPr>
          <w:rFonts w:ascii="Tahoma" w:eastAsia="Tahoma" w:hAnsi="Tahoma" w:cs="Tahoma"/>
          <w:b/>
          <w:sz w:val="20"/>
          <w:szCs w:val="20"/>
        </w:rPr>
        <w:t>Macroárea</w:t>
      </w:r>
      <w:proofErr w:type="spellEnd"/>
      <w:r>
        <w:rPr>
          <w:rFonts w:ascii="Tahoma" w:eastAsia="Tahoma" w:hAnsi="Tahoma" w:cs="Tahoma"/>
          <w:b/>
          <w:sz w:val="20"/>
          <w:szCs w:val="20"/>
        </w:rPr>
        <w:t xml:space="preserve"> da Urbanização Consolidada</w:t>
      </w:r>
      <w:r>
        <w:rPr>
          <w:rFonts w:ascii="Tahoma" w:eastAsia="Tahoma" w:hAnsi="Tahoma" w:cs="Tahoma"/>
          <w:sz w:val="20"/>
          <w:szCs w:val="20"/>
        </w:rPr>
        <w:t>:</w:t>
      </w:r>
      <w:r>
        <w:rPr>
          <w:rFonts w:ascii="Tahoma" w:eastAsia="Tahoma" w:hAnsi="Tahoma" w:cs="Tahoma"/>
          <w:sz w:val="20"/>
          <w:szCs w:val="20"/>
        </w:rPr>
        <w:br/>
        <w:t xml:space="preserve">I – </w:t>
      </w:r>
      <w:r>
        <w:rPr>
          <w:rFonts w:ascii="Tahoma" w:eastAsia="Tahoma" w:hAnsi="Tahoma" w:cs="Tahoma"/>
          <w:b/>
          <w:sz w:val="20"/>
          <w:szCs w:val="20"/>
        </w:rPr>
        <w:t>controlar o processo de adensamento construtivo e da saturação viária, por meio da revisão do atual padrão de verticalização</w:t>
      </w:r>
      <w:r>
        <w:rPr>
          <w:rFonts w:ascii="Tahoma" w:eastAsia="Tahoma" w:hAnsi="Tahoma" w:cs="Tahoma"/>
          <w:sz w:val="20"/>
          <w:szCs w:val="20"/>
        </w:rPr>
        <w:t xml:space="preserve"> e do</w:t>
      </w:r>
      <w:r>
        <w:rPr>
          <w:rFonts w:ascii="Tahoma" w:eastAsia="Tahoma" w:hAnsi="Tahoma" w:cs="Tahoma"/>
          <w:sz w:val="20"/>
          <w:szCs w:val="20"/>
        </w:rPr>
        <w:t>s afastamentos, introdução de parâmetros qualificadores do ambiente urbano e de acordo com as diretrizes de mobilidade urbana sustentável;</w:t>
      </w:r>
      <w:r>
        <w:rPr>
          <w:rFonts w:ascii="Tahoma" w:eastAsia="Tahoma" w:hAnsi="Tahoma" w:cs="Tahoma"/>
          <w:sz w:val="20"/>
          <w:szCs w:val="20"/>
        </w:rPr>
        <w:br/>
      </w:r>
      <w:r>
        <w:rPr>
          <w:rFonts w:ascii="Tahoma" w:eastAsia="Tahoma" w:hAnsi="Tahoma" w:cs="Tahoma"/>
          <w:sz w:val="20"/>
          <w:szCs w:val="20"/>
        </w:rPr>
        <w:lastRenderedPageBreak/>
        <w:t xml:space="preserve">II – </w:t>
      </w:r>
      <w:r>
        <w:rPr>
          <w:rFonts w:ascii="Tahoma" w:eastAsia="Tahoma" w:hAnsi="Tahoma" w:cs="Tahoma"/>
          <w:b/>
          <w:sz w:val="20"/>
          <w:szCs w:val="20"/>
        </w:rPr>
        <w:t>controlar o processo de adensamento e a intensificação de ocupação do solo, na defesa do ambiente urbano de qual</w:t>
      </w:r>
      <w:r>
        <w:rPr>
          <w:rFonts w:ascii="Tahoma" w:eastAsia="Tahoma" w:hAnsi="Tahoma" w:cs="Tahoma"/>
          <w:b/>
          <w:sz w:val="20"/>
          <w:szCs w:val="20"/>
        </w:rPr>
        <w:t>idade por meio de restrição à promoção de empreendimentos de grande porte em áreas saturadas</w:t>
      </w:r>
      <w:r>
        <w:rPr>
          <w:rFonts w:ascii="Tahoma" w:eastAsia="Tahoma" w:hAnsi="Tahoma" w:cs="Tahoma"/>
          <w:sz w:val="20"/>
          <w:szCs w:val="20"/>
        </w:rPr>
        <w:t>;</w:t>
      </w:r>
    </w:p>
    <w:p w:rsidR="006826C6" w:rsidRDefault="001602F3">
      <w:pPr>
        <w:spacing w:line="360" w:lineRule="auto"/>
        <w:ind w:left="288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III - orientar o adensamento populacional segundo a </w:t>
      </w:r>
      <w:r>
        <w:rPr>
          <w:rFonts w:ascii="Tahoma" w:eastAsia="Tahoma" w:hAnsi="Tahoma" w:cs="Tahoma"/>
          <w:b/>
          <w:sz w:val="20"/>
          <w:szCs w:val="20"/>
        </w:rPr>
        <w:t>disponibilidade de saneamento básico, dos sistemas de circulação e dos demais equipamentos e serviços urbanos</w:t>
      </w:r>
      <w:r>
        <w:rPr>
          <w:rFonts w:ascii="Tahoma" w:eastAsia="Tahoma" w:hAnsi="Tahoma" w:cs="Tahoma"/>
          <w:sz w:val="20"/>
          <w:szCs w:val="20"/>
        </w:rPr>
        <w:t>,</w:t>
      </w:r>
      <w:r>
        <w:rPr>
          <w:rFonts w:ascii="Tahoma" w:eastAsia="Tahoma" w:hAnsi="Tahoma" w:cs="Tahoma"/>
          <w:sz w:val="20"/>
          <w:szCs w:val="20"/>
        </w:rPr>
        <w:t xml:space="preserve"> com diversidade social, para aproveitar melhor a infraestrutura instalada e equilibrar a relação entre oferta de empregos e moradia;</w:t>
      </w:r>
      <w:r>
        <w:rPr>
          <w:rFonts w:ascii="Tahoma" w:eastAsia="Tahoma" w:hAnsi="Tahoma" w:cs="Tahoma"/>
          <w:sz w:val="20"/>
          <w:szCs w:val="20"/>
        </w:rPr>
        <w:br/>
        <w:t xml:space="preserve">IV – preservar ambientes construídos pela reutilização e </w:t>
      </w:r>
      <w:r>
        <w:rPr>
          <w:rFonts w:ascii="Tahoma" w:eastAsia="Tahoma" w:hAnsi="Tahoma" w:cs="Tahoma"/>
          <w:b/>
          <w:sz w:val="20"/>
          <w:szCs w:val="20"/>
        </w:rPr>
        <w:t>conservação de imóveis de valor cultural</w:t>
      </w:r>
      <w:r>
        <w:rPr>
          <w:rFonts w:ascii="Tahoma" w:eastAsia="Tahoma" w:hAnsi="Tahoma" w:cs="Tahoma"/>
          <w:sz w:val="20"/>
          <w:szCs w:val="20"/>
        </w:rPr>
        <w:t>;</w:t>
      </w:r>
    </w:p>
    <w:p w:rsidR="006826C6" w:rsidRDefault="001602F3">
      <w:pPr>
        <w:spacing w:line="360" w:lineRule="auto"/>
        <w:ind w:left="288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(...</w:t>
      </w:r>
      <w:proofErr w:type="gramStart"/>
      <w:r>
        <w:rPr>
          <w:rFonts w:ascii="Tahoma" w:eastAsia="Tahoma" w:hAnsi="Tahoma" w:cs="Tahoma"/>
          <w:sz w:val="20"/>
          <w:szCs w:val="20"/>
        </w:rPr>
        <w:t>)</w:t>
      </w:r>
      <w:proofErr w:type="gramEnd"/>
      <w:r>
        <w:rPr>
          <w:rFonts w:ascii="Tahoma" w:eastAsia="Tahoma" w:hAnsi="Tahoma" w:cs="Tahoma"/>
          <w:sz w:val="20"/>
          <w:szCs w:val="20"/>
        </w:rPr>
        <w:br/>
        <w:t xml:space="preserve">VI – </w:t>
      </w:r>
      <w:r>
        <w:rPr>
          <w:rFonts w:ascii="Tahoma" w:eastAsia="Tahoma" w:hAnsi="Tahoma" w:cs="Tahoma"/>
          <w:b/>
          <w:sz w:val="20"/>
          <w:szCs w:val="20"/>
        </w:rPr>
        <w:t>manter as ár</w:t>
      </w:r>
      <w:r>
        <w:rPr>
          <w:rFonts w:ascii="Tahoma" w:eastAsia="Tahoma" w:hAnsi="Tahoma" w:cs="Tahoma"/>
          <w:b/>
          <w:sz w:val="20"/>
          <w:szCs w:val="20"/>
        </w:rPr>
        <w:t>eas verdes significativas</w:t>
      </w:r>
      <w:r>
        <w:rPr>
          <w:rFonts w:ascii="Tahoma" w:eastAsia="Tahoma" w:hAnsi="Tahoma" w:cs="Tahoma"/>
          <w:sz w:val="20"/>
          <w:szCs w:val="20"/>
        </w:rPr>
        <w:t>;</w:t>
      </w:r>
    </w:p>
    <w:p w:rsidR="006826C6" w:rsidRDefault="001602F3">
      <w:pPr>
        <w:spacing w:line="360" w:lineRule="auto"/>
        <w:ind w:left="288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(</w:t>
      </w:r>
      <w:proofErr w:type="gramStart"/>
      <w:r>
        <w:rPr>
          <w:rFonts w:ascii="Tahoma" w:eastAsia="Tahoma" w:hAnsi="Tahoma" w:cs="Tahoma"/>
          <w:sz w:val="20"/>
          <w:szCs w:val="20"/>
        </w:rPr>
        <w:t>...)”</w:t>
      </w:r>
      <w:proofErr w:type="gramEnd"/>
      <w:r>
        <w:rPr>
          <w:rFonts w:ascii="Tahoma" w:eastAsia="Tahoma" w:hAnsi="Tahoma" w:cs="Tahoma"/>
          <w:sz w:val="20"/>
          <w:szCs w:val="20"/>
        </w:rPr>
        <w:t>.</w:t>
      </w:r>
    </w:p>
    <w:p w:rsidR="006826C6" w:rsidRDefault="006826C6">
      <w:pPr>
        <w:spacing w:line="360" w:lineRule="auto"/>
        <w:ind w:left="2880"/>
        <w:jc w:val="both"/>
        <w:rPr>
          <w:rFonts w:ascii="Tahoma" w:eastAsia="Tahoma" w:hAnsi="Tahoma" w:cs="Tahoma"/>
          <w:sz w:val="20"/>
          <w:szCs w:val="20"/>
        </w:rPr>
      </w:pPr>
    </w:p>
    <w:p w:rsidR="006826C6" w:rsidRDefault="001602F3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5263299" cy="3664677"/>
            <wp:effectExtent l="0" t="0" r="0" b="0"/>
            <wp:docPr id="29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3299" cy="36646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826C6" w:rsidRDefault="001602F3">
      <w:pPr>
        <w:jc w:val="center"/>
        <w:rPr>
          <w:rFonts w:ascii="Tahoma" w:eastAsia="Tahoma" w:hAnsi="Tahoma" w:cs="Tahoma"/>
          <w:sz w:val="18"/>
          <w:szCs w:val="18"/>
        </w:rPr>
      </w:pPr>
      <w:proofErr w:type="spellStart"/>
      <w:r>
        <w:rPr>
          <w:rFonts w:ascii="Tahoma" w:eastAsia="Tahoma" w:hAnsi="Tahoma" w:cs="Tahoma"/>
          <w:sz w:val="18"/>
          <w:szCs w:val="18"/>
        </w:rPr>
        <w:t>Macroárea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de Urbanização Consolidada em amarelo escuro. Fonte: PL221/2023</w:t>
      </w:r>
    </w:p>
    <w:p w:rsidR="006826C6" w:rsidRDefault="006826C6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826C6" w:rsidRDefault="006826C6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6826C6" w:rsidRDefault="001602F3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O zoneamento </w:t>
      </w:r>
      <w:r>
        <w:rPr>
          <w:rFonts w:ascii="Tahoma" w:eastAsia="Tahoma" w:hAnsi="Tahoma" w:cs="Tahoma"/>
          <w:b/>
          <w:sz w:val="22"/>
          <w:szCs w:val="22"/>
        </w:rPr>
        <w:t>ZEU+11 (zona de estruturação urbana que permite edificações de até 14 pavimentos</w:t>
      </w:r>
      <w:r>
        <w:rPr>
          <w:rFonts w:ascii="Tahoma" w:eastAsia="Tahoma" w:hAnsi="Tahoma" w:cs="Tahoma"/>
          <w:sz w:val="22"/>
          <w:szCs w:val="22"/>
        </w:rPr>
        <w:t xml:space="preserve">) para parte dos bairros do Cubango e Fonseca causará </w:t>
      </w:r>
      <w:r>
        <w:rPr>
          <w:rFonts w:ascii="Tahoma" w:eastAsia="Tahoma" w:hAnsi="Tahoma" w:cs="Tahoma"/>
          <w:b/>
          <w:sz w:val="22"/>
          <w:szCs w:val="22"/>
        </w:rPr>
        <w:t>impactos negativos</w:t>
      </w:r>
      <w:r>
        <w:rPr>
          <w:rFonts w:ascii="Tahoma" w:eastAsia="Tahoma" w:hAnsi="Tahoma" w:cs="Tahoma"/>
          <w:sz w:val="22"/>
          <w:szCs w:val="22"/>
        </w:rPr>
        <w:t xml:space="preserve"> tanto para a </w:t>
      </w:r>
      <w:proofErr w:type="gramStart"/>
      <w:r>
        <w:rPr>
          <w:rFonts w:ascii="Tahoma" w:eastAsia="Tahoma" w:hAnsi="Tahoma" w:cs="Tahoma"/>
          <w:sz w:val="22"/>
          <w:szCs w:val="22"/>
        </w:rPr>
        <w:t>implementação</w:t>
      </w:r>
      <w:proofErr w:type="gramEnd"/>
      <w:r>
        <w:rPr>
          <w:rFonts w:ascii="Tahoma" w:eastAsia="Tahoma" w:hAnsi="Tahoma" w:cs="Tahoma"/>
          <w:sz w:val="22"/>
          <w:szCs w:val="22"/>
        </w:rPr>
        <w:t xml:space="preserve"> e manutenção do </w:t>
      </w:r>
      <w:r>
        <w:rPr>
          <w:rFonts w:ascii="Tahoma" w:eastAsia="Tahoma" w:hAnsi="Tahoma" w:cs="Tahoma"/>
          <w:b/>
          <w:sz w:val="22"/>
          <w:szCs w:val="22"/>
        </w:rPr>
        <w:t>meio ambiente ecologicamente equilibrado</w:t>
      </w:r>
      <w:r>
        <w:rPr>
          <w:rFonts w:ascii="Tahoma" w:eastAsia="Tahoma" w:hAnsi="Tahoma" w:cs="Tahoma"/>
          <w:sz w:val="22"/>
          <w:szCs w:val="22"/>
        </w:rPr>
        <w:t xml:space="preserve">, como para a </w:t>
      </w:r>
      <w:r>
        <w:rPr>
          <w:rFonts w:ascii="Tahoma" w:eastAsia="Tahoma" w:hAnsi="Tahoma" w:cs="Tahoma"/>
          <w:b/>
          <w:sz w:val="22"/>
          <w:szCs w:val="22"/>
        </w:rPr>
        <w:t>qualidade de vida da população</w:t>
      </w:r>
      <w:r>
        <w:rPr>
          <w:rFonts w:ascii="Tahoma" w:eastAsia="Tahoma" w:hAnsi="Tahoma" w:cs="Tahoma"/>
          <w:sz w:val="22"/>
          <w:szCs w:val="22"/>
        </w:rPr>
        <w:t xml:space="preserve"> humana ali residente, tendo em vista que:</w:t>
      </w:r>
    </w:p>
    <w:p w:rsidR="006826C6" w:rsidRDefault="006826C6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826C6" w:rsidRDefault="001602F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22"/>
          <w:szCs w:val="22"/>
        </w:rPr>
        <w:t xml:space="preserve">Ainda que a 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classificação viária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das 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 xml:space="preserve">ruas Noronha </w:t>
      </w:r>
      <w:proofErr w:type="spellStart"/>
      <w:r>
        <w:rPr>
          <w:rFonts w:ascii="Tahoma" w:eastAsia="Tahoma" w:hAnsi="Tahoma" w:cs="Tahoma"/>
          <w:b/>
          <w:color w:val="000000"/>
          <w:sz w:val="22"/>
          <w:szCs w:val="22"/>
        </w:rPr>
        <w:t>Torrezão</w:t>
      </w:r>
      <w:proofErr w:type="spellEnd"/>
      <w:r>
        <w:rPr>
          <w:rFonts w:ascii="Tahoma" w:eastAsia="Tahoma" w:hAnsi="Tahoma" w:cs="Tahoma"/>
          <w:b/>
          <w:sz w:val="22"/>
          <w:szCs w:val="22"/>
        </w:rPr>
        <w:t>,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 xml:space="preserve"> Desembargador Lima Castro e Alameda São </w:t>
      </w:r>
      <w:proofErr w:type="spellStart"/>
      <w:r>
        <w:rPr>
          <w:rFonts w:ascii="Tahoma" w:eastAsia="Tahoma" w:hAnsi="Tahoma" w:cs="Tahoma"/>
          <w:b/>
          <w:color w:val="000000"/>
          <w:sz w:val="22"/>
          <w:szCs w:val="22"/>
        </w:rPr>
        <w:t>Boa</w:t>
      </w:r>
      <w:r>
        <w:rPr>
          <w:rFonts w:ascii="Tahoma" w:eastAsia="Tahoma" w:hAnsi="Tahoma" w:cs="Tahoma"/>
          <w:b/>
          <w:sz w:val="22"/>
          <w:szCs w:val="22"/>
        </w:rPr>
        <w:t>v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entura</w:t>
      </w:r>
      <w:proofErr w:type="spellEnd"/>
      <w:r>
        <w:rPr>
          <w:rFonts w:ascii="Tahoma" w:eastAsia="Tahoma" w:hAnsi="Tahoma" w:cs="Tahoma"/>
          <w:color w:val="000000"/>
          <w:sz w:val="22"/>
          <w:szCs w:val="22"/>
        </w:rPr>
        <w:t xml:space="preserve"> seja a classificação de 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vias de eixo estruturante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, as mesmas já não comportam o atual fluxo de veículos motorizados, principalmente a </w:t>
      </w:r>
      <w:proofErr w:type="gramStart"/>
      <w:r>
        <w:rPr>
          <w:rFonts w:ascii="Tahoma" w:eastAsia="Tahoma" w:hAnsi="Tahoma" w:cs="Tahoma"/>
          <w:color w:val="000000"/>
          <w:sz w:val="22"/>
          <w:szCs w:val="22"/>
        </w:rPr>
        <w:t>rua</w:t>
      </w:r>
      <w:proofErr w:type="gramEnd"/>
      <w:r>
        <w:rPr>
          <w:rFonts w:ascii="Tahoma" w:eastAsia="Tahoma" w:hAnsi="Tahoma" w:cs="Tahoma"/>
          <w:color w:val="000000"/>
          <w:sz w:val="22"/>
          <w:szCs w:val="22"/>
        </w:rPr>
        <w:t xml:space="preserve"> Noronha </w:t>
      </w:r>
      <w:proofErr w:type="spellStart"/>
      <w:r>
        <w:rPr>
          <w:rFonts w:ascii="Tahoma" w:eastAsia="Tahoma" w:hAnsi="Tahoma" w:cs="Tahoma"/>
          <w:color w:val="000000"/>
          <w:sz w:val="22"/>
          <w:szCs w:val="22"/>
        </w:rPr>
        <w:t>Torrezão</w:t>
      </w:r>
      <w:proofErr w:type="spellEnd"/>
      <w:r>
        <w:rPr>
          <w:rFonts w:ascii="Tahoma" w:eastAsia="Tahoma" w:hAnsi="Tahoma" w:cs="Tahoma"/>
          <w:color w:val="000000"/>
          <w:sz w:val="22"/>
          <w:szCs w:val="22"/>
        </w:rPr>
        <w:t>. T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al 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adensamento demográfico proposto não será comportado pelas características físicas atuais des</w:t>
      </w:r>
      <w:r>
        <w:rPr>
          <w:rFonts w:ascii="Tahoma" w:eastAsia="Tahoma" w:hAnsi="Tahoma" w:cs="Tahoma"/>
          <w:b/>
          <w:sz w:val="22"/>
          <w:szCs w:val="22"/>
        </w:rPr>
        <w:t>s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as vias de eixo estruturante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, dado </w:t>
      </w:r>
      <w:proofErr w:type="gramStart"/>
      <w:r>
        <w:rPr>
          <w:rFonts w:ascii="Tahoma" w:eastAsia="Tahoma" w:hAnsi="Tahoma" w:cs="Tahoma"/>
          <w:color w:val="000000"/>
          <w:sz w:val="22"/>
          <w:szCs w:val="22"/>
        </w:rPr>
        <w:t xml:space="preserve">o 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aumento de automóveis promovida pela verticalização das edificações</w:t>
      </w:r>
      <w:proofErr w:type="gramEnd"/>
      <w:r>
        <w:rPr>
          <w:rFonts w:ascii="Tahoma" w:eastAsia="Tahoma" w:hAnsi="Tahoma" w:cs="Tahoma"/>
          <w:color w:val="000000"/>
          <w:sz w:val="22"/>
          <w:szCs w:val="22"/>
        </w:rPr>
        <w:t xml:space="preserve">. Esta tipologia de via, associada ao aumento do fluxo de veículos ocasionará 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aumento de engarrafamentos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, que poderá se estender às demais vias locais do entorno. Ainda que a </w:t>
      </w:r>
      <w:proofErr w:type="gramStart"/>
      <w:r>
        <w:rPr>
          <w:rFonts w:ascii="Tahoma" w:eastAsia="Tahoma" w:hAnsi="Tahoma" w:cs="Tahoma"/>
          <w:color w:val="000000"/>
          <w:sz w:val="22"/>
          <w:szCs w:val="22"/>
        </w:rPr>
        <w:t>rua</w:t>
      </w:r>
      <w:proofErr w:type="gramEnd"/>
      <w:r>
        <w:rPr>
          <w:rFonts w:ascii="Tahoma" w:eastAsia="Tahoma" w:hAnsi="Tahoma" w:cs="Tahoma"/>
          <w:color w:val="000000"/>
          <w:sz w:val="22"/>
          <w:szCs w:val="22"/>
        </w:rPr>
        <w:t xml:space="preserve"> Noronha </w:t>
      </w:r>
      <w:proofErr w:type="spellStart"/>
      <w:r>
        <w:rPr>
          <w:rFonts w:ascii="Tahoma" w:eastAsia="Tahoma" w:hAnsi="Tahoma" w:cs="Tahoma"/>
          <w:color w:val="000000"/>
          <w:sz w:val="22"/>
          <w:szCs w:val="22"/>
        </w:rPr>
        <w:t>Torrezão</w:t>
      </w:r>
      <w:proofErr w:type="spellEnd"/>
      <w:r>
        <w:rPr>
          <w:rFonts w:ascii="Tahoma" w:eastAsia="Tahoma" w:hAnsi="Tahoma" w:cs="Tahoma"/>
          <w:color w:val="000000"/>
          <w:sz w:val="22"/>
          <w:szCs w:val="22"/>
        </w:rPr>
        <w:t xml:space="preserve"> seja uma via de eixo, esta é uma rua com apenas 01 faixa de </w:t>
      </w:r>
      <w:r>
        <w:rPr>
          <w:rFonts w:ascii="Tahoma" w:eastAsia="Tahoma" w:hAnsi="Tahoma" w:cs="Tahoma"/>
          <w:color w:val="000000"/>
          <w:sz w:val="22"/>
          <w:szCs w:val="22"/>
        </w:rPr>
        <w:t>rolamento para cada sentido e com fluxo de veículos de transporte coletivo, fatores que contribuem para a prospecção de que haverá piora na qualidade do fluxo viário da região;</w:t>
      </w:r>
    </w:p>
    <w:p w:rsidR="006826C6" w:rsidRDefault="001602F3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Tahoma" w:eastAsia="Tahoma" w:hAnsi="Tahoma" w:cs="Tahoma"/>
          <w:color w:val="000000"/>
          <w:sz w:val="18"/>
          <w:szCs w:val="18"/>
        </w:rPr>
      </w:pPr>
      <w:r>
        <w:rPr>
          <w:rFonts w:ascii="Tahoma" w:eastAsia="Tahoma" w:hAnsi="Tahoma" w:cs="Tahoma"/>
          <w:noProof/>
          <w:color w:val="000000"/>
          <w:sz w:val="18"/>
          <w:szCs w:val="18"/>
          <w:lang w:eastAsia="pt-BR"/>
        </w:rPr>
        <w:drawing>
          <wp:inline distT="0" distB="0" distL="0" distR="0">
            <wp:extent cx="4486275" cy="3369402"/>
            <wp:effectExtent l="0" t="0" r="0" b="0"/>
            <wp:docPr id="3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33694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color w:val="000000"/>
          <w:sz w:val="18"/>
          <w:szCs w:val="18"/>
        </w:rPr>
        <w:t xml:space="preserve"> </w:t>
      </w:r>
      <w:r>
        <w:rPr>
          <w:rFonts w:ascii="Tahoma" w:eastAsia="Tahoma" w:hAnsi="Tahoma" w:cs="Tahoma"/>
          <w:noProof/>
          <w:color w:val="000000"/>
          <w:sz w:val="18"/>
          <w:szCs w:val="18"/>
          <w:lang w:eastAsia="pt-BR"/>
        </w:rPr>
        <w:drawing>
          <wp:inline distT="0" distB="0" distL="0" distR="0">
            <wp:extent cx="1010234" cy="1333686"/>
            <wp:effectExtent l="0" t="0" r="0" b="0"/>
            <wp:docPr id="3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r="29303"/>
                    <a:stretch>
                      <a:fillRect/>
                    </a:stretch>
                  </pic:blipFill>
                  <pic:spPr>
                    <a:xfrm>
                      <a:off x="0" y="0"/>
                      <a:ext cx="1010234" cy="133368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826C6" w:rsidRDefault="001602F3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Tahoma" w:eastAsia="Tahoma" w:hAnsi="Tahoma" w:cs="Tahoma"/>
          <w:color w:val="000000"/>
          <w:sz w:val="18"/>
          <w:szCs w:val="18"/>
        </w:rPr>
      </w:pPr>
      <w:r>
        <w:rPr>
          <w:rFonts w:ascii="Tahoma" w:eastAsia="Tahoma" w:hAnsi="Tahoma" w:cs="Tahoma"/>
          <w:color w:val="000000"/>
          <w:sz w:val="18"/>
          <w:szCs w:val="18"/>
        </w:rPr>
        <w:t>Mapa de hierarquia viária. Fonte: PL221/2023</w:t>
      </w:r>
    </w:p>
    <w:p w:rsidR="006826C6" w:rsidRDefault="006826C6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Tahoma" w:eastAsia="Tahoma" w:hAnsi="Tahoma" w:cs="Tahoma"/>
          <w:color w:val="000000"/>
          <w:sz w:val="22"/>
          <w:szCs w:val="22"/>
        </w:rPr>
      </w:pPr>
    </w:p>
    <w:p w:rsidR="006826C6" w:rsidRDefault="006826C6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Tahoma" w:eastAsia="Tahoma" w:hAnsi="Tahoma" w:cs="Tahoma"/>
          <w:color w:val="000000"/>
          <w:sz w:val="22"/>
          <w:szCs w:val="22"/>
        </w:rPr>
      </w:pPr>
      <w:bookmarkStart w:id="0" w:name="_heading=h.gjdgxs" w:colFirst="0" w:colLast="0"/>
      <w:bookmarkEnd w:id="0"/>
    </w:p>
    <w:p w:rsidR="006826C6" w:rsidRDefault="001602F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22"/>
          <w:szCs w:val="22"/>
        </w:rPr>
        <w:t xml:space="preserve">Tal 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adensamento,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com signifi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cativo aumento populacional, 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poderá não ser atendido pela atual rede de distribuição de água</w:t>
      </w:r>
      <w:r>
        <w:rPr>
          <w:rFonts w:ascii="Tahoma" w:eastAsia="Tahoma" w:hAnsi="Tahoma" w:cs="Tahoma"/>
          <w:color w:val="000000"/>
          <w:sz w:val="22"/>
          <w:szCs w:val="22"/>
        </w:rPr>
        <w:t>;</w:t>
      </w:r>
    </w:p>
    <w:p w:rsidR="006826C6" w:rsidRDefault="006826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:rsidR="006826C6" w:rsidRDefault="001602F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  <w:sz w:val="18"/>
          <w:szCs w:val="18"/>
        </w:rPr>
      </w:pPr>
      <w:r>
        <w:rPr>
          <w:rFonts w:ascii="Tahoma" w:eastAsia="Tahoma" w:hAnsi="Tahoma" w:cs="Tahoma"/>
          <w:color w:val="000000"/>
          <w:sz w:val="22"/>
          <w:szCs w:val="22"/>
        </w:rPr>
        <w:t xml:space="preserve">A alteração na 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quantidade e fluxo de veículos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nas vias locais desta região</w:t>
      </w:r>
      <w:proofErr w:type="gramStart"/>
      <w:r>
        <w:rPr>
          <w:rFonts w:ascii="Tahoma" w:eastAsia="Tahoma" w:hAnsi="Tahoma" w:cs="Tahoma"/>
          <w:color w:val="000000"/>
          <w:sz w:val="22"/>
          <w:szCs w:val="22"/>
        </w:rPr>
        <w:t>, contribuirá</w:t>
      </w:r>
      <w:proofErr w:type="gramEnd"/>
      <w:r>
        <w:rPr>
          <w:rFonts w:ascii="Tahoma" w:eastAsia="Tahoma" w:hAnsi="Tahoma" w:cs="Tahoma"/>
          <w:color w:val="000000"/>
          <w:sz w:val="22"/>
          <w:szCs w:val="22"/>
        </w:rPr>
        <w:t xml:space="preserve"> para o 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aumento da poluição sonora</w:t>
      </w:r>
      <w:r>
        <w:rPr>
          <w:rFonts w:ascii="Tahoma" w:eastAsia="Tahoma" w:hAnsi="Tahoma" w:cs="Tahoma"/>
          <w:b/>
          <w:sz w:val="22"/>
          <w:szCs w:val="22"/>
        </w:rPr>
        <w:t xml:space="preserve"> e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 xml:space="preserve"> poluição do ar</w:t>
      </w:r>
      <w:r>
        <w:rPr>
          <w:rFonts w:ascii="Tahoma" w:eastAsia="Tahoma" w:hAnsi="Tahoma" w:cs="Tahoma"/>
          <w:sz w:val="22"/>
          <w:szCs w:val="22"/>
        </w:rPr>
        <w:t xml:space="preserve">. Nesse sentido, a </w:t>
      </w:r>
      <w:r>
        <w:rPr>
          <w:rFonts w:ascii="Tahoma" w:eastAsia="Tahoma" w:hAnsi="Tahoma" w:cs="Tahoma"/>
          <w:color w:val="000000"/>
          <w:sz w:val="22"/>
          <w:szCs w:val="22"/>
        </w:rPr>
        <w:t>criação de mais áreas públicas de lazer poderá ser benéfica no combate a es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color w:val="000000"/>
          <w:sz w:val="22"/>
          <w:szCs w:val="22"/>
        </w:rPr>
        <w:t>as externalidades</w:t>
      </w:r>
      <w:r>
        <w:rPr>
          <w:rFonts w:ascii="Tahoma" w:eastAsia="Tahoma" w:hAnsi="Tahoma" w:cs="Tahoma"/>
          <w:sz w:val="22"/>
          <w:szCs w:val="22"/>
        </w:rPr>
        <w:t xml:space="preserve"> e, por isso, 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deixamos a sugestão para que mais espaços livres e áreas verdes de uso público que </w:t>
      </w:r>
      <w:r>
        <w:rPr>
          <w:rFonts w:ascii="Tahoma" w:eastAsia="Tahoma" w:hAnsi="Tahoma" w:cs="Tahoma"/>
          <w:sz w:val="22"/>
          <w:szCs w:val="22"/>
        </w:rPr>
        <w:t>acomodem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atividades de lazer e de fruição, </w:t>
      </w:r>
      <w:r>
        <w:rPr>
          <w:rFonts w:ascii="Tahoma" w:eastAsia="Tahoma" w:hAnsi="Tahoma" w:cs="Tahoma"/>
          <w:sz w:val="22"/>
          <w:szCs w:val="22"/>
        </w:rPr>
        <w:t>possam ser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</w:t>
      </w:r>
      <w:proofErr w:type="gramStart"/>
      <w:r>
        <w:rPr>
          <w:rFonts w:ascii="Tahoma" w:eastAsia="Tahoma" w:hAnsi="Tahoma" w:cs="Tahoma"/>
          <w:color w:val="000000"/>
          <w:sz w:val="22"/>
          <w:szCs w:val="22"/>
        </w:rPr>
        <w:t>criadas</w:t>
      </w:r>
      <w:proofErr w:type="gramEnd"/>
      <w:r>
        <w:rPr>
          <w:rFonts w:ascii="Tahoma" w:eastAsia="Tahoma" w:hAnsi="Tahoma" w:cs="Tahoma"/>
          <w:color w:val="000000"/>
          <w:sz w:val="22"/>
          <w:szCs w:val="22"/>
        </w:rPr>
        <w:t xml:space="preserve"> nes</w:t>
      </w:r>
      <w:r>
        <w:rPr>
          <w:rFonts w:ascii="Tahoma" w:eastAsia="Tahoma" w:hAnsi="Tahoma" w:cs="Tahoma"/>
          <w:sz w:val="22"/>
          <w:szCs w:val="22"/>
        </w:rPr>
        <w:t>s</w:t>
      </w:r>
      <w:r>
        <w:rPr>
          <w:rFonts w:ascii="Tahoma" w:eastAsia="Tahoma" w:hAnsi="Tahoma" w:cs="Tahoma"/>
          <w:color w:val="000000"/>
          <w:sz w:val="22"/>
          <w:szCs w:val="22"/>
        </w:rPr>
        <w:t>as localidades;</w:t>
      </w:r>
    </w:p>
    <w:p w:rsidR="006826C6" w:rsidRDefault="006826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</w:p>
    <w:p w:rsidR="006826C6" w:rsidRDefault="001602F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22"/>
          <w:szCs w:val="22"/>
        </w:rPr>
        <w:t xml:space="preserve">A implantação de grandes empreendimentos imobiliários 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aumentará a impermeabilização do solo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, o que 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pode provocar impactos negativos na manutenção do lençol freático</w:t>
      </w:r>
      <w:r>
        <w:rPr>
          <w:rFonts w:ascii="Tahoma" w:eastAsia="Tahoma" w:hAnsi="Tahoma" w:cs="Tahoma"/>
          <w:sz w:val="22"/>
          <w:szCs w:val="22"/>
        </w:rPr>
        <w:t>: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a camada de água subterrânea presente abaixo da superfície do solo. A imp</w:t>
      </w:r>
      <w:r>
        <w:rPr>
          <w:rFonts w:ascii="Tahoma" w:eastAsia="Tahoma" w:hAnsi="Tahoma" w:cs="Tahoma"/>
          <w:color w:val="000000"/>
          <w:sz w:val="22"/>
          <w:szCs w:val="22"/>
        </w:rPr>
        <w:t>ermeabilização ocorre quando superfícies naturais são cobertas por materiais impermeáveis, como asfalto, concreto ou outros revestimentos, impedindo a absorção natural da água pelo solo. Onde podemos citar alguns dos principais impactos:</w:t>
      </w:r>
    </w:p>
    <w:p w:rsidR="006826C6" w:rsidRDefault="006826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:rsidR="006826C6" w:rsidRDefault="001602F3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t>Redução da infilt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ração de água: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A impermeabilização impede que a água da chuva seja absorvida pelo solo, reduzindo a quantidade de água que recarrega o lençol freático. Isso pode levar a uma diminuição do nível do lençol freático ao longo do tempo;</w:t>
      </w:r>
    </w:p>
    <w:p w:rsidR="006826C6" w:rsidRDefault="001602F3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t>Aumento do escoamento su</w:t>
      </w:r>
      <w:r>
        <w:rPr>
          <w:rFonts w:ascii="Tahoma" w:eastAsia="Tahoma" w:hAnsi="Tahoma" w:cs="Tahoma"/>
          <w:b/>
          <w:color w:val="000000"/>
          <w:sz w:val="22"/>
          <w:szCs w:val="22"/>
        </w:rPr>
        <w:t>perficial: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Com menos água sendo absorvida pelo solo, há um aumento no escoamento superficial. Isso pode levar a enchentes mais </w:t>
      </w:r>
      <w:proofErr w:type="spellStart"/>
      <w:r>
        <w:rPr>
          <w:rFonts w:ascii="Tahoma" w:eastAsia="Tahoma" w:hAnsi="Tahoma" w:cs="Tahoma"/>
          <w:color w:val="000000"/>
          <w:sz w:val="22"/>
          <w:szCs w:val="22"/>
        </w:rPr>
        <w:t>frequentes</w:t>
      </w:r>
      <w:proofErr w:type="spellEnd"/>
      <w:r>
        <w:rPr>
          <w:rFonts w:ascii="Tahoma" w:eastAsia="Tahoma" w:hAnsi="Tahoma" w:cs="Tahoma"/>
          <w:color w:val="000000"/>
          <w:sz w:val="22"/>
          <w:szCs w:val="22"/>
        </w:rPr>
        <w:t xml:space="preserve"> e intensas, pois a água da chuva flui mais rapidamente sobre a superfície impermeabilizada em vez de ser absorvida pel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o solo, </w:t>
      </w:r>
      <w:proofErr w:type="spellStart"/>
      <w:r>
        <w:rPr>
          <w:rFonts w:ascii="Tahoma" w:eastAsia="Tahoma" w:hAnsi="Tahoma" w:cs="Tahoma"/>
          <w:color w:val="000000"/>
          <w:sz w:val="22"/>
          <w:szCs w:val="22"/>
        </w:rPr>
        <w:t>agudizando</w:t>
      </w:r>
      <w:proofErr w:type="spellEnd"/>
      <w:r>
        <w:rPr>
          <w:rFonts w:ascii="Tahoma" w:eastAsia="Tahoma" w:hAnsi="Tahoma" w:cs="Tahoma"/>
          <w:color w:val="000000"/>
          <w:sz w:val="22"/>
          <w:szCs w:val="22"/>
        </w:rPr>
        <w:t xml:space="preserve"> os já costumeiros alagamentos na região;</w:t>
      </w:r>
    </w:p>
    <w:p w:rsidR="006826C6" w:rsidRDefault="001602F3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t xml:space="preserve">Alterações na qualidade da água: </w:t>
      </w:r>
      <w:r>
        <w:rPr>
          <w:rFonts w:ascii="Tahoma" w:eastAsia="Tahoma" w:hAnsi="Tahoma" w:cs="Tahoma"/>
          <w:color w:val="000000"/>
          <w:sz w:val="22"/>
          <w:szCs w:val="22"/>
        </w:rPr>
        <w:t>O escoamento superficial sobre superfícies impermeáveis pode transportar poluentes, como óleos, metais pesados e substâncias químicas, para corpos d'água próximos.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Isso afeta negativamente a qualidade da água no lençol freático;</w:t>
      </w:r>
    </w:p>
    <w:p w:rsidR="006826C6" w:rsidRDefault="001602F3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t>Mudanças na temperatura do solo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: Superfícies impermeáveis, especialmente </w:t>
      </w:r>
      <w:r>
        <w:rPr>
          <w:rFonts w:ascii="Tahoma" w:eastAsia="Tahoma" w:hAnsi="Tahoma" w:cs="Tahoma"/>
          <w:color w:val="000000"/>
          <w:sz w:val="22"/>
          <w:szCs w:val="22"/>
        </w:rPr>
        <w:lastRenderedPageBreak/>
        <w:t>aquelas feitas de materiais como concreto e asfalto, absorvem e retêm o calor. Isso pode resultar em mudanças na temp</w:t>
      </w:r>
      <w:r>
        <w:rPr>
          <w:rFonts w:ascii="Tahoma" w:eastAsia="Tahoma" w:hAnsi="Tahoma" w:cs="Tahoma"/>
          <w:color w:val="000000"/>
          <w:sz w:val="22"/>
          <w:szCs w:val="22"/>
        </w:rPr>
        <w:t>eratura do solo, afetando os processos naturais que ocorrem nas camadas mais profundas, incluindo o lençol freático;</w:t>
      </w:r>
    </w:p>
    <w:p w:rsidR="006826C6" w:rsidRDefault="001602F3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t xml:space="preserve">Subsidência do solo: </w:t>
      </w:r>
      <w:r>
        <w:rPr>
          <w:rFonts w:ascii="Tahoma" w:eastAsia="Tahoma" w:hAnsi="Tahoma" w:cs="Tahoma"/>
          <w:color w:val="000000"/>
          <w:sz w:val="22"/>
          <w:szCs w:val="22"/>
        </w:rPr>
        <w:t>Em algumas áreas, a retirada excessiva de água do lençol freático para uso humano pode levar à subsidência do solo, ou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seja, ao afundamento da superfície terrestre. Isso pode resultar em danos à infraestrutura e ao ambiente local.</w:t>
      </w:r>
    </w:p>
    <w:p w:rsidR="006826C6" w:rsidRDefault="006826C6">
      <w:pPr>
        <w:spacing w:line="360" w:lineRule="auto"/>
        <w:ind w:left="360"/>
        <w:jc w:val="both"/>
        <w:rPr>
          <w:rFonts w:ascii="Tahoma" w:eastAsia="Tahoma" w:hAnsi="Tahoma" w:cs="Tahoma"/>
          <w:sz w:val="22"/>
          <w:szCs w:val="22"/>
        </w:rPr>
      </w:pPr>
    </w:p>
    <w:p w:rsidR="006826C6" w:rsidRDefault="001602F3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Em face desses desafios, é imperativo adotar uma abordagem holística e sustentável para a urbanização. O planejamento cuidadoso, que considere as externalidades promovidas por esta proposta de ordenamento do solo da cidade, é essencial para garantir o dese</w:t>
      </w:r>
      <w:r>
        <w:rPr>
          <w:rFonts w:ascii="Tahoma" w:eastAsia="Tahoma" w:hAnsi="Tahoma" w:cs="Tahoma"/>
          <w:sz w:val="22"/>
          <w:szCs w:val="22"/>
        </w:rPr>
        <w:t>nvolvimento urbano sem comprometer a segurança e a qualidade de vida das comunidades. Somente assim podemos construir cidades que resistam aos desafios do clima, promovendo um equilíbrio entre o desenvolvimento urbano e a preservação ambiental.</w:t>
      </w:r>
    </w:p>
    <w:p w:rsidR="006826C6" w:rsidRDefault="001602F3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 w:firstLine="720"/>
        <w:jc w:val="both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Desta forma</w:t>
      </w:r>
      <w:r>
        <w:rPr>
          <w:rFonts w:ascii="Tahoma" w:eastAsia="Tahoma" w:hAnsi="Tahoma" w:cs="Tahoma"/>
          <w:sz w:val="22"/>
          <w:szCs w:val="22"/>
        </w:rPr>
        <w:t>, visando ordenar o crescimento urbano, aliando questões econômicas e de conservação e proteção socioambiental, contamos com o apoio dos nobres pares na aprovação desta emenda.</w:t>
      </w:r>
      <w:r>
        <w:rPr>
          <w:rFonts w:ascii="Tahoma" w:eastAsia="Tahoma" w:hAnsi="Tahoma" w:cs="Tahoma"/>
          <w:b/>
          <w:sz w:val="22"/>
          <w:szCs w:val="22"/>
        </w:rPr>
        <w:t xml:space="preserve">                </w:t>
      </w:r>
    </w:p>
    <w:sectPr w:rsidR="006826C6" w:rsidSect="006826C6">
      <w:headerReference w:type="default" r:id="rId12"/>
      <w:footerReference w:type="default" r:id="rId13"/>
      <w:pgSz w:w="11905" w:h="16837"/>
      <w:pgMar w:top="1134" w:right="706" w:bottom="1134" w:left="1005" w:header="720" w:footer="56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6C6" w:rsidRDefault="006826C6" w:rsidP="006826C6">
      <w:r>
        <w:separator/>
      </w:r>
    </w:p>
  </w:endnote>
  <w:endnote w:type="continuationSeparator" w:id="1">
    <w:p w:rsidR="006826C6" w:rsidRDefault="006826C6" w:rsidP="00682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6C6" w:rsidRDefault="006826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6826C6" w:rsidRDefault="001602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6826C6" w:rsidRDefault="001602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Telefone 2620.1321/ </w:t>
    </w:r>
    <w:proofErr w:type="spellStart"/>
    <w:proofErr w:type="gramStart"/>
    <w:r>
      <w:rPr>
        <w:rFonts w:ascii="Tahoma" w:eastAsia="Tahoma" w:hAnsi="Tahoma" w:cs="Tahoma"/>
        <w:b/>
        <w:i/>
        <w:color w:val="000000"/>
        <w:sz w:val="16"/>
        <w:szCs w:val="16"/>
      </w:rPr>
      <w:t>WhatsApp</w:t>
    </w:r>
    <w:proofErr w:type="spellEnd"/>
    <w:proofErr w:type="gramEnd"/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9992.25333</w:t>
    </w:r>
  </w:p>
  <w:p w:rsidR="006826C6" w:rsidRDefault="001602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color w:val="000000"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6C6" w:rsidRDefault="006826C6" w:rsidP="006826C6">
      <w:r>
        <w:separator/>
      </w:r>
    </w:p>
  </w:footnote>
  <w:footnote w:type="continuationSeparator" w:id="1">
    <w:p w:rsidR="006826C6" w:rsidRDefault="006826C6" w:rsidP="006826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6C6" w:rsidRDefault="006826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6826C6">
      <w:trPr>
        <w:cantSplit/>
        <w:trHeight w:val="1950"/>
        <w:tblHeader/>
      </w:trPr>
      <w:tc>
        <w:tcPr>
          <w:tcW w:w="1728" w:type="dxa"/>
        </w:tcPr>
        <w:p w:rsidR="006826C6" w:rsidRDefault="001602F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7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826C6" w:rsidRDefault="006826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6826C6" w:rsidRDefault="006826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6826C6" w:rsidRDefault="001602F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6826C6" w:rsidRDefault="006826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6826C6" w:rsidRDefault="001602F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6826C6" w:rsidRDefault="006826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6826C6" w:rsidRDefault="006826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06265"/>
    <w:multiLevelType w:val="multilevel"/>
    <w:tmpl w:val="EC38C888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b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6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4320" w:hanging="180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68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400" w:hanging="2160"/>
      </w:pPr>
      <w:rPr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26C6"/>
    <w:rsid w:val="001602F3"/>
    <w:rsid w:val="00682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6826C6"/>
  </w:style>
  <w:style w:type="table" w:customStyle="1" w:styleId="TableNormal">
    <w:name w:val="Table Normal"/>
    <w:rsid w:val="006826C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826C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744EBE"/>
  </w:style>
  <w:style w:type="table" w:customStyle="1" w:styleId="TableNormal1">
    <w:name w:val="Table Normal1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1">
    <w:name w:val="Normal1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6826C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1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6826C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9A162A"/>
    <w:pPr>
      <w:ind w:left="720"/>
      <w:contextualSpacing/>
    </w:pPr>
  </w:style>
  <w:style w:type="table" w:customStyle="1" w:styleId="a">
    <w:basedOn w:val="TableNormal0"/>
    <w:rsid w:val="006826C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9u+MQS7rUBr8hGf85LhR8tfxMg==">CgMxLjAyCGguZ2pkZ3hzOAByITF5UWhoOVVHOG1RVGdkN0dqenlYOXJsSGxQSllCZzktVQ==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1299</Words>
  <Characters>7017</Characters>
  <Application>Microsoft Office Word</Application>
  <DocSecurity>0</DocSecurity>
  <Lines>58</Lines>
  <Paragraphs>16</Paragraphs>
  <ScaleCrop>false</ScaleCrop>
  <Company/>
  <LinksUpToDate>false</LinksUpToDate>
  <CharactersWithSpaces>8300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2024-02-19T11:36:00Z</cp:lastPrinted>
  <dcterms:created xsi:type="dcterms:W3CDTF">2024-02-19T11:36:00Z</dcterms:created>
  <dcterms:modified xsi:type="dcterms:W3CDTF">2024-02-19T11:36:00Z</dcterms:modified>
</cp:coreProperties>
</file>