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A6B31" w:rsidRDefault="004A6B31" w:rsidP="004A6B31">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spacing w:line="360" w:lineRule="auto"/>
        <w:rPr>
          <w:rFonts w:ascii="Tahoma" w:eastAsia="Tahoma" w:hAnsi="Tahoma" w:cs="Tahoma"/>
          <w:b/>
          <w:color w:val="000000"/>
        </w:rPr>
      </w:pPr>
    </w:p>
    <w:p w:rsidR="007049E0" w:rsidRDefault="005B63BD" w:rsidP="005E150C">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spacing w:line="360" w:lineRule="auto"/>
        <w:jc w:val="center"/>
        <w:rPr>
          <w:rFonts w:ascii="Tahoma" w:eastAsia="Tahoma" w:hAnsi="Tahoma" w:cs="Tahoma"/>
          <w:b/>
        </w:rPr>
      </w:pPr>
      <w:r>
        <w:rPr>
          <w:rFonts w:ascii="Tahoma" w:eastAsia="Tahoma" w:hAnsi="Tahoma" w:cs="Tahoma"/>
          <w:b/>
          <w:color w:val="000000"/>
        </w:rPr>
        <w:t>Emenda Nº      /2023</w:t>
      </w:r>
    </w:p>
    <w:p w:rsidR="00D14EFA" w:rsidRDefault="00C67E1C" w:rsidP="005E150C">
      <w:pPr>
        <w:keepNext/>
        <w:pBdr>
          <w:top w:val="nil"/>
          <w:left w:val="nil"/>
          <w:bottom w:val="nil"/>
          <w:right w:val="nil"/>
          <w:between w:val="nil"/>
        </w:pBdr>
        <w:tabs>
          <w:tab w:val="left" w:pos="3397"/>
          <w:tab w:val="left" w:pos="13460"/>
          <w:tab w:val="left" w:pos="3397"/>
          <w:tab w:val="left" w:pos="13460"/>
        </w:tabs>
        <w:spacing w:line="360" w:lineRule="auto"/>
        <w:jc w:val="center"/>
        <w:rPr>
          <w:rFonts w:ascii="Tahoma" w:eastAsia="Tahoma" w:hAnsi="Tahoma" w:cs="Tahoma"/>
        </w:rPr>
      </w:pPr>
      <w:r>
        <w:rPr>
          <w:rFonts w:ascii="Tahoma" w:eastAsia="Tahoma" w:hAnsi="Tahoma" w:cs="Tahoma"/>
          <w:b/>
          <w:color w:val="000000"/>
        </w:rPr>
        <w:t>Modificativa</w:t>
      </w:r>
      <w:r w:rsidR="005B63BD">
        <w:rPr>
          <w:rFonts w:ascii="Tahoma" w:eastAsia="Tahoma" w:hAnsi="Tahoma" w:cs="Tahoma"/>
          <w:b/>
          <w:color w:val="000000"/>
        </w:rPr>
        <w:t xml:space="preserve"> ao Projeto de Lei Nº. </w:t>
      </w:r>
      <w:r w:rsidR="005B63BD">
        <w:rPr>
          <w:rFonts w:ascii="Tahoma" w:eastAsia="Tahoma" w:hAnsi="Tahoma" w:cs="Tahoma"/>
          <w:b/>
        </w:rPr>
        <w:t>22</w:t>
      </w:r>
      <w:r w:rsidR="005B63BD">
        <w:rPr>
          <w:rFonts w:ascii="Tahoma" w:eastAsia="Tahoma" w:hAnsi="Tahoma" w:cs="Tahoma"/>
          <w:b/>
          <w:color w:val="000000"/>
        </w:rPr>
        <w:t>1/202</w:t>
      </w:r>
      <w:r w:rsidR="005B63BD">
        <w:rPr>
          <w:rFonts w:ascii="Tahoma" w:eastAsia="Tahoma" w:hAnsi="Tahoma" w:cs="Tahoma"/>
          <w:b/>
        </w:rPr>
        <w:t>3</w:t>
      </w:r>
    </w:p>
    <w:p w:rsidR="00D14EFA" w:rsidRDefault="00D14EFA" w:rsidP="005E150C">
      <w:pPr>
        <w:keepNext/>
        <w:pBdr>
          <w:top w:val="nil"/>
          <w:left w:val="nil"/>
          <w:bottom w:val="nil"/>
          <w:right w:val="nil"/>
          <w:between w:val="nil"/>
        </w:pBdr>
        <w:tabs>
          <w:tab w:val="left" w:pos="3397"/>
          <w:tab w:val="left" w:pos="13460"/>
          <w:tab w:val="left" w:pos="3397"/>
          <w:tab w:val="left" w:pos="13460"/>
        </w:tabs>
        <w:spacing w:line="360" w:lineRule="auto"/>
        <w:jc w:val="center"/>
        <w:rPr>
          <w:rFonts w:ascii="Tahoma" w:eastAsia="Tahoma" w:hAnsi="Tahoma" w:cs="Tahoma"/>
        </w:rPr>
      </w:pPr>
    </w:p>
    <w:p w:rsidR="007049E0" w:rsidRPr="005E150C" w:rsidRDefault="007049E0" w:rsidP="005E150C">
      <w:pPr>
        <w:keepNext/>
        <w:pBdr>
          <w:top w:val="nil"/>
          <w:left w:val="nil"/>
          <w:bottom w:val="nil"/>
          <w:right w:val="nil"/>
          <w:between w:val="nil"/>
        </w:pBdr>
        <w:tabs>
          <w:tab w:val="left" w:pos="3397"/>
          <w:tab w:val="left" w:pos="13460"/>
          <w:tab w:val="left" w:pos="3397"/>
          <w:tab w:val="left" w:pos="13460"/>
        </w:tabs>
        <w:spacing w:line="360" w:lineRule="auto"/>
        <w:jc w:val="center"/>
        <w:rPr>
          <w:rFonts w:ascii="Tahoma" w:eastAsia="Tahoma" w:hAnsi="Tahoma" w:cs="Tahoma"/>
        </w:rPr>
      </w:pPr>
    </w:p>
    <w:p w:rsidR="00D14EFA" w:rsidRDefault="00C67E1C">
      <w:pPr>
        <w:spacing w:line="360" w:lineRule="auto"/>
        <w:ind w:left="5103"/>
        <w:jc w:val="both"/>
        <w:rPr>
          <w:rFonts w:ascii="Tahoma" w:eastAsia="Tahoma" w:hAnsi="Tahoma" w:cs="Tahoma"/>
          <w:color w:val="000000"/>
          <w:sz w:val="22"/>
          <w:szCs w:val="22"/>
        </w:rPr>
      </w:pPr>
      <w:r w:rsidRPr="00C67E1C">
        <w:rPr>
          <w:rFonts w:ascii="Tahoma" w:eastAsia="Tahoma" w:hAnsi="Tahoma" w:cs="Tahoma"/>
          <w:b/>
          <w:sz w:val="22"/>
          <w:szCs w:val="22"/>
        </w:rPr>
        <w:t>Modifica o</w:t>
      </w:r>
      <w:r w:rsidR="005B63BD" w:rsidRPr="00C67E1C">
        <w:rPr>
          <w:rFonts w:ascii="Tahoma" w:eastAsia="Tahoma" w:hAnsi="Tahoma" w:cs="Tahoma"/>
          <w:b/>
          <w:sz w:val="22"/>
          <w:szCs w:val="22"/>
        </w:rPr>
        <w:t xml:space="preserve"> Art. 023</w:t>
      </w:r>
      <w:r w:rsidR="00EA5C4D">
        <w:rPr>
          <w:rFonts w:ascii="Tahoma" w:eastAsia="Tahoma" w:hAnsi="Tahoma" w:cs="Tahoma"/>
          <w:sz w:val="22"/>
          <w:szCs w:val="22"/>
        </w:rPr>
        <w:t>d</w:t>
      </w:r>
      <w:r w:rsidR="00D861B7">
        <w:rPr>
          <w:rFonts w:ascii="Tahoma" w:eastAsia="Tahoma" w:hAnsi="Tahoma" w:cs="Tahoma"/>
          <w:sz w:val="22"/>
          <w:szCs w:val="22"/>
        </w:rPr>
        <w:t>o Projeto de Lei Nº 221/2023, L</w:t>
      </w:r>
      <w:r w:rsidR="005B63BD">
        <w:rPr>
          <w:rFonts w:ascii="Tahoma" w:eastAsia="Tahoma" w:hAnsi="Tahoma" w:cs="Tahoma"/>
          <w:sz w:val="22"/>
          <w:szCs w:val="22"/>
        </w:rPr>
        <w:t xml:space="preserve">ei </w:t>
      </w:r>
      <w:r w:rsidR="00D861B7">
        <w:rPr>
          <w:rFonts w:ascii="Tahoma" w:eastAsia="Tahoma" w:hAnsi="Tahoma" w:cs="Tahoma"/>
          <w:sz w:val="22"/>
          <w:szCs w:val="22"/>
        </w:rPr>
        <w:t>U</w:t>
      </w:r>
      <w:r w:rsidR="005B63BD">
        <w:rPr>
          <w:rFonts w:ascii="Tahoma" w:eastAsia="Tahoma" w:hAnsi="Tahoma" w:cs="Tahoma"/>
          <w:sz w:val="22"/>
          <w:szCs w:val="22"/>
        </w:rPr>
        <w:t>rbanística de Niterói, seu zoneamento, a aplicação de instrumentos de política urbana e as regras gerais de licenciamento da atividade edilícia e de fiscalização da execução de obras</w:t>
      </w:r>
      <w:r w:rsidR="005B63BD">
        <w:rPr>
          <w:rFonts w:ascii="Tahoma" w:eastAsia="Tahoma" w:hAnsi="Tahoma" w:cs="Tahoma"/>
          <w:color w:val="000000"/>
          <w:sz w:val="22"/>
          <w:szCs w:val="22"/>
          <w:highlight w:val="white"/>
        </w:rPr>
        <w:t>.</w:t>
      </w:r>
    </w:p>
    <w:p w:rsidR="00D14EFA" w:rsidRDefault="00D14EFA">
      <w:pPr>
        <w:spacing w:line="360" w:lineRule="auto"/>
        <w:ind w:left="5103"/>
        <w:jc w:val="both"/>
        <w:rPr>
          <w:rFonts w:ascii="Tahoma" w:eastAsia="Tahoma" w:hAnsi="Tahoma" w:cs="Tahoma"/>
          <w:sz w:val="22"/>
          <w:szCs w:val="22"/>
        </w:rPr>
      </w:pPr>
    </w:p>
    <w:p w:rsidR="004C6222" w:rsidRDefault="005B63BD" w:rsidP="004C6222">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jc w:val="both"/>
        <w:rPr>
          <w:rFonts w:ascii="Tahoma" w:eastAsia="Tahoma" w:hAnsi="Tahoma" w:cs="Tahoma"/>
          <w:sz w:val="22"/>
          <w:szCs w:val="22"/>
        </w:rPr>
      </w:pPr>
      <w:r>
        <w:rPr>
          <w:rFonts w:ascii="Tahoma" w:eastAsia="Tahoma" w:hAnsi="Tahoma" w:cs="Tahoma"/>
          <w:b/>
          <w:sz w:val="22"/>
          <w:szCs w:val="22"/>
        </w:rPr>
        <w:t xml:space="preserve">Art.1º </w:t>
      </w:r>
      <w:r w:rsidR="004C6222" w:rsidRPr="0065052E">
        <w:rPr>
          <w:rFonts w:ascii="Tahoma" w:eastAsia="Tahoma" w:hAnsi="Tahoma" w:cs="Tahoma"/>
          <w:b/>
          <w:sz w:val="22"/>
          <w:szCs w:val="22"/>
        </w:rPr>
        <w:t>-</w:t>
      </w:r>
      <w:r w:rsidR="00F225C4">
        <w:rPr>
          <w:rFonts w:ascii="Tahoma" w:eastAsia="Tahoma" w:hAnsi="Tahoma" w:cs="Tahoma"/>
          <w:b/>
          <w:sz w:val="22"/>
          <w:szCs w:val="22"/>
        </w:rPr>
        <w:t>Modifica o Art. 023</w:t>
      </w:r>
      <w:r w:rsidR="00F225C4">
        <w:rPr>
          <w:rFonts w:ascii="Tahoma" w:eastAsia="Tahoma" w:hAnsi="Tahoma" w:cs="Tahoma"/>
          <w:sz w:val="22"/>
          <w:szCs w:val="22"/>
        </w:rPr>
        <w:t>d</w:t>
      </w:r>
      <w:r w:rsidR="004C6222" w:rsidRPr="00621570">
        <w:rPr>
          <w:rFonts w:ascii="Tahoma" w:eastAsia="Tahoma" w:hAnsi="Tahoma" w:cs="Tahoma"/>
          <w:sz w:val="22"/>
          <w:szCs w:val="22"/>
        </w:rPr>
        <w:t>o Projeto de Lei Nº 221/2023, Lei Urbanística de Niterói, seu zoneamento, a aplicação de instrumentos de política urbana e as regras gerais de licenciamento da atividade edilícia e de fi</w:t>
      </w:r>
      <w:r w:rsidR="004C6222">
        <w:rPr>
          <w:rFonts w:ascii="Tahoma" w:eastAsia="Tahoma" w:hAnsi="Tahoma" w:cs="Tahoma"/>
          <w:sz w:val="22"/>
          <w:szCs w:val="22"/>
        </w:rPr>
        <w:t>scalização da execução de obras;</w:t>
      </w:r>
      <w:r w:rsidR="004C6222" w:rsidRPr="00621570">
        <w:rPr>
          <w:rFonts w:ascii="Tahoma" w:eastAsia="Tahoma" w:hAnsi="Tahoma" w:cs="Tahoma"/>
          <w:sz w:val="22"/>
          <w:szCs w:val="22"/>
        </w:rPr>
        <w:t xml:space="preserve"> que passa a constar com o seguinte texto:</w:t>
      </w:r>
    </w:p>
    <w:p w:rsidR="004C6222" w:rsidRPr="00A41142" w:rsidRDefault="00A41142"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Pr>
          <w:rFonts w:ascii="Tahoma" w:eastAsia="Tahoma" w:hAnsi="Tahoma" w:cs="Tahoma"/>
          <w:sz w:val="22"/>
          <w:szCs w:val="22"/>
        </w:rPr>
        <w:t>“</w:t>
      </w:r>
      <w:r w:rsidR="004C6222" w:rsidRPr="00A41142">
        <w:rPr>
          <w:rFonts w:ascii="Tahoma" w:eastAsia="Tahoma" w:hAnsi="Tahoma" w:cs="Tahoma"/>
          <w:sz w:val="22"/>
          <w:szCs w:val="22"/>
        </w:rPr>
        <w:t>Art. 23. Não será permitido o parcelamento do solo:</w:t>
      </w:r>
    </w:p>
    <w:p w:rsidR="004C6222" w:rsidRPr="00A41142" w:rsidRDefault="004C6222"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I – Em terrenos sujeitos a inundação, antes de tomadas as providências para assegurar o escoamento das águas;</w:t>
      </w:r>
    </w:p>
    <w:p w:rsidR="004F4902" w:rsidRPr="00A41142" w:rsidRDefault="00F225C4"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II – Em áreas com potencial</w:t>
      </w:r>
      <w:r w:rsidR="0046720C" w:rsidRPr="00A41142">
        <w:rPr>
          <w:rFonts w:ascii="Tahoma" w:eastAsia="Tahoma" w:hAnsi="Tahoma" w:cs="Tahoma"/>
          <w:sz w:val="22"/>
          <w:szCs w:val="22"/>
        </w:rPr>
        <w:t xml:space="preserve"> ou suspeitas de contaminação, contaminadas ou em moni</w:t>
      </w:r>
      <w:r w:rsidR="00792774" w:rsidRPr="00A41142">
        <w:rPr>
          <w:rFonts w:ascii="Tahoma" w:eastAsia="Tahoma" w:hAnsi="Tahoma" w:cs="Tahoma"/>
          <w:sz w:val="22"/>
          <w:szCs w:val="22"/>
        </w:rPr>
        <w:t>toramento ambiental, sem que haja manifestação favorável do órgão ambiental competente para sua reutilização conforme o uso pretendido;</w:t>
      </w:r>
    </w:p>
    <w:p w:rsidR="00792774" w:rsidRPr="00A41142" w:rsidRDefault="00792774"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III – Em terrenos com declividade igual ou superior a 45° (quarenta e cinco graus), salvo se atendidas as exigências especificas das autoridades competentes, ressalvadas as disposições previstas na legislação federal;</w:t>
      </w:r>
    </w:p>
    <w:p w:rsidR="00792774" w:rsidRPr="00A41142" w:rsidRDefault="002D5FC8"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IV – Em terrenos onde</w:t>
      </w:r>
      <w:r w:rsidR="0039429C" w:rsidRPr="00A41142">
        <w:rPr>
          <w:rFonts w:ascii="Tahoma" w:eastAsia="Tahoma" w:hAnsi="Tahoma" w:cs="Tahoma"/>
          <w:sz w:val="22"/>
          <w:szCs w:val="22"/>
        </w:rPr>
        <w:t>a incidência de riscos geológico/geotécnicos nãopossibilite a edificação;</w:t>
      </w:r>
    </w:p>
    <w:p w:rsidR="005845C8" w:rsidRDefault="0039429C" w:rsidP="005845C8">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V - Em Zonas de Preservação Ambiental (ZPA);</w:t>
      </w:r>
    </w:p>
    <w:p w:rsidR="0046720C" w:rsidRPr="00A41142" w:rsidRDefault="005845C8"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Pr>
          <w:rFonts w:ascii="Tahoma" w:eastAsia="Tahoma" w:hAnsi="Tahoma" w:cs="Tahoma"/>
          <w:sz w:val="22"/>
          <w:szCs w:val="22"/>
        </w:rPr>
        <w:lastRenderedPageBreak/>
        <w:t>VI – Em qualquer outro espaço territorial especificamente protegido pelo ordenamento jurídico brasileiro.</w:t>
      </w:r>
    </w:p>
    <w:p w:rsidR="00585A5A" w:rsidRPr="00A41142" w:rsidRDefault="00585A5A"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 xml:space="preserve">§ 1° Fica estabelecido como infração muito grave passível das penalidades elencadas na Lei Municipal 2602/2008 o descumprimento de um ou mais incisos do </w:t>
      </w:r>
      <w:r w:rsidRPr="00A41142">
        <w:rPr>
          <w:rFonts w:ascii="Tahoma" w:eastAsia="Tahoma" w:hAnsi="Tahoma" w:cs="Tahoma"/>
          <w:i/>
          <w:sz w:val="22"/>
          <w:szCs w:val="22"/>
        </w:rPr>
        <w:t>caput.</w:t>
      </w:r>
    </w:p>
    <w:p w:rsidR="00F94A09" w:rsidRPr="00A41142" w:rsidRDefault="00585A5A"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 2° Fica</w:t>
      </w:r>
      <w:r w:rsidR="00F94A09" w:rsidRPr="00A41142">
        <w:rPr>
          <w:rFonts w:ascii="Tahoma" w:eastAsia="Tahoma" w:hAnsi="Tahoma" w:cs="Tahoma"/>
          <w:sz w:val="22"/>
          <w:szCs w:val="22"/>
        </w:rPr>
        <w:t xml:space="preserve">mrevogadas quaisquer permissões de parcelamento do solo uma vez </w:t>
      </w:r>
      <w:r w:rsidR="005845C8">
        <w:rPr>
          <w:rFonts w:ascii="Tahoma" w:eastAsia="Tahoma" w:hAnsi="Tahoma" w:cs="Tahoma"/>
          <w:sz w:val="22"/>
          <w:szCs w:val="22"/>
        </w:rPr>
        <w:t xml:space="preserve">ocorridas em discordância com ao Decreto </w:t>
      </w:r>
      <w:r w:rsidR="00F94A09" w:rsidRPr="00A41142">
        <w:rPr>
          <w:rFonts w:ascii="Tahoma" w:eastAsia="Tahoma" w:hAnsi="Tahoma" w:cs="Tahoma"/>
          <w:sz w:val="22"/>
          <w:szCs w:val="22"/>
        </w:rPr>
        <w:t>Federal 24643/1934</w:t>
      </w:r>
      <w:r w:rsidR="005845C8">
        <w:rPr>
          <w:rFonts w:ascii="Tahoma" w:eastAsia="Tahoma" w:hAnsi="Tahoma" w:cs="Tahoma"/>
          <w:sz w:val="22"/>
          <w:szCs w:val="22"/>
        </w:rPr>
        <w:t xml:space="preserve"> e leis posteriores</w:t>
      </w:r>
      <w:r w:rsidR="00F94A09" w:rsidRPr="00A41142">
        <w:rPr>
          <w:rFonts w:ascii="Tahoma" w:eastAsia="Tahoma" w:hAnsi="Tahoma" w:cs="Tahoma"/>
          <w:sz w:val="22"/>
          <w:szCs w:val="22"/>
        </w:rPr>
        <w:t>.</w:t>
      </w:r>
    </w:p>
    <w:p w:rsidR="000C6201" w:rsidRPr="00A41142" w:rsidRDefault="00A41142" w:rsidP="00A41142">
      <w:pPr>
        <w:pBdr>
          <w:top w:val="none" w:sz="0" w:space="0" w:color="000000"/>
          <w:left w:val="none" w:sz="0" w:space="0" w:color="000000"/>
          <w:bottom w:val="none" w:sz="0" w:space="11" w:color="000000"/>
          <w:right w:val="none" w:sz="0" w:space="0" w:color="000000"/>
        </w:pBdr>
        <w:shd w:val="clear" w:color="auto" w:fill="FFFFFF"/>
        <w:spacing w:after="240" w:line="360" w:lineRule="auto"/>
        <w:ind w:left="567" w:right="-220"/>
        <w:jc w:val="both"/>
        <w:rPr>
          <w:rFonts w:ascii="Tahoma" w:eastAsia="Tahoma" w:hAnsi="Tahoma" w:cs="Tahoma"/>
          <w:sz w:val="22"/>
          <w:szCs w:val="22"/>
        </w:rPr>
      </w:pPr>
      <w:r w:rsidRPr="00A41142">
        <w:rPr>
          <w:rFonts w:ascii="Tahoma" w:eastAsia="Tahoma" w:hAnsi="Tahoma" w:cs="Tahoma"/>
          <w:sz w:val="22"/>
          <w:szCs w:val="22"/>
        </w:rPr>
        <w:t xml:space="preserve">§ 3° </w:t>
      </w:r>
      <w:r w:rsidR="000C6201" w:rsidRPr="00A41142">
        <w:rPr>
          <w:rFonts w:ascii="Tahoma" w:eastAsia="Tahoma" w:hAnsi="Tahoma" w:cs="Tahoma"/>
          <w:sz w:val="22"/>
          <w:szCs w:val="22"/>
        </w:rPr>
        <w:t xml:space="preserve">Torna todas as áreas de preservação permanente e unidades de conservação de proteção integral do município </w:t>
      </w:r>
      <w:r w:rsidR="00811360" w:rsidRPr="00A41142">
        <w:rPr>
          <w:rFonts w:ascii="Tahoma" w:eastAsia="Tahoma" w:hAnsi="Tahoma" w:cs="Tahoma"/>
          <w:sz w:val="22"/>
          <w:szCs w:val="22"/>
        </w:rPr>
        <w:t xml:space="preserve">em </w:t>
      </w:r>
      <w:r w:rsidR="000C6201" w:rsidRPr="00A41142">
        <w:rPr>
          <w:rFonts w:ascii="Tahoma" w:eastAsia="Tahoma" w:hAnsi="Tahoma" w:cs="Tahoma"/>
          <w:sz w:val="22"/>
          <w:szCs w:val="22"/>
        </w:rPr>
        <w:t>Zonas de Preservação Ambiental (ZPA), independentemente da sua categoria quanto a permissão para ocupação humana, ressalvadas as exceções estabelecidas na legislação vigente aplicável.</w:t>
      </w:r>
      <w:r>
        <w:rPr>
          <w:rFonts w:ascii="Tahoma" w:eastAsia="Tahoma" w:hAnsi="Tahoma" w:cs="Tahoma"/>
          <w:sz w:val="22"/>
          <w:szCs w:val="22"/>
        </w:rPr>
        <w:t>”</w:t>
      </w:r>
    </w:p>
    <w:p w:rsidR="00811360" w:rsidRDefault="00811360"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both"/>
        <w:rPr>
          <w:rFonts w:ascii="Tahoma" w:eastAsia="Tahoma" w:hAnsi="Tahoma" w:cs="Tahoma"/>
          <w:b/>
          <w:sz w:val="22"/>
          <w:szCs w:val="22"/>
        </w:rPr>
      </w:pPr>
    </w:p>
    <w:p w:rsidR="00811360" w:rsidRDefault="00811360"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both"/>
        <w:rPr>
          <w:rFonts w:ascii="Tahoma" w:eastAsia="Tahoma" w:hAnsi="Tahoma" w:cs="Tahoma"/>
          <w:b/>
          <w:sz w:val="22"/>
          <w:szCs w:val="22"/>
        </w:rPr>
      </w:pPr>
    </w:p>
    <w:p w:rsidR="00D14EFA" w:rsidRDefault="005B63BD"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right"/>
        <w:rPr>
          <w:rFonts w:ascii="Tahoma" w:eastAsia="Tahoma" w:hAnsi="Tahoma" w:cs="Tahoma"/>
          <w:sz w:val="22"/>
          <w:szCs w:val="22"/>
        </w:rPr>
      </w:pPr>
      <w:r>
        <w:rPr>
          <w:rFonts w:ascii="Tahoma" w:eastAsia="Tahoma" w:hAnsi="Tahoma" w:cs="Tahoma"/>
          <w:sz w:val="22"/>
          <w:szCs w:val="22"/>
        </w:rPr>
        <w:t>Sala das Sessões, 25 de janeiro de 2024.</w:t>
      </w:r>
    </w:p>
    <w:p w:rsidR="00811360" w:rsidRDefault="00811360"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right"/>
        <w:rPr>
          <w:rFonts w:ascii="Tahoma" w:eastAsia="Tahoma" w:hAnsi="Tahoma" w:cs="Tahoma"/>
          <w:sz w:val="22"/>
          <w:szCs w:val="22"/>
        </w:rPr>
      </w:pPr>
    </w:p>
    <w:p w:rsidR="00811360" w:rsidRDefault="00811360"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right"/>
        <w:rPr>
          <w:rFonts w:ascii="Tahoma" w:eastAsia="Tahoma" w:hAnsi="Tahoma" w:cs="Tahoma"/>
          <w:sz w:val="22"/>
          <w:szCs w:val="22"/>
        </w:rPr>
      </w:pPr>
    </w:p>
    <w:p w:rsidR="00811360" w:rsidRDefault="00811360" w:rsidP="00F94A09">
      <w:pPr>
        <w:pBdr>
          <w:top w:val="none" w:sz="0" w:space="0" w:color="000000"/>
          <w:left w:val="none" w:sz="0" w:space="0" w:color="000000"/>
          <w:bottom w:val="none" w:sz="0" w:space="11" w:color="000000"/>
          <w:right w:val="none" w:sz="0" w:space="0" w:color="000000"/>
        </w:pBdr>
        <w:shd w:val="clear" w:color="auto" w:fill="FFFFFF"/>
        <w:spacing w:after="240" w:line="360" w:lineRule="auto"/>
        <w:ind w:left="-284" w:right="-220"/>
        <w:jc w:val="right"/>
        <w:rPr>
          <w:rFonts w:ascii="Tahoma" w:eastAsia="Tahoma" w:hAnsi="Tahoma" w:cs="Tahoma"/>
          <w:sz w:val="22"/>
          <w:szCs w:val="22"/>
        </w:rPr>
      </w:pPr>
    </w:p>
    <w:p w:rsidR="007049E0" w:rsidRDefault="005B63BD">
      <w:pPr>
        <w:spacing w:line="360" w:lineRule="auto"/>
        <w:jc w:val="center"/>
        <w:rPr>
          <w:rFonts w:ascii="Tahoma" w:eastAsia="Tahoma" w:hAnsi="Tahoma" w:cs="Tahoma"/>
          <w:b/>
          <w:sz w:val="22"/>
          <w:szCs w:val="22"/>
        </w:rPr>
      </w:pPr>
      <w:r>
        <w:rPr>
          <w:rFonts w:ascii="Tahoma" w:eastAsia="Tahoma" w:hAnsi="Tahoma" w:cs="Tahoma"/>
          <w:b/>
          <w:sz w:val="22"/>
          <w:szCs w:val="22"/>
        </w:rPr>
        <w:t>______________________________________</w:t>
      </w:r>
    </w:p>
    <w:p w:rsidR="007049E0" w:rsidRDefault="005B63BD">
      <w:pPr>
        <w:spacing w:line="360" w:lineRule="auto"/>
        <w:jc w:val="center"/>
        <w:rPr>
          <w:rFonts w:ascii="Tahoma" w:eastAsia="Tahoma" w:hAnsi="Tahoma" w:cs="Tahoma"/>
          <w:b/>
          <w:sz w:val="22"/>
          <w:szCs w:val="22"/>
        </w:rPr>
      </w:pPr>
      <w:r>
        <w:rPr>
          <w:rFonts w:ascii="Tahoma" w:eastAsia="Tahoma" w:hAnsi="Tahoma" w:cs="Tahoma"/>
          <w:b/>
          <w:sz w:val="22"/>
          <w:szCs w:val="22"/>
        </w:rPr>
        <w:t>Daniel Marques</w:t>
      </w:r>
    </w:p>
    <w:p w:rsidR="00811360" w:rsidRDefault="005B63BD">
      <w:pPr>
        <w:spacing w:line="360" w:lineRule="auto"/>
        <w:jc w:val="center"/>
        <w:rPr>
          <w:rFonts w:ascii="Tahoma" w:eastAsia="Tahoma" w:hAnsi="Tahoma" w:cs="Tahoma"/>
          <w:b/>
          <w:sz w:val="22"/>
          <w:szCs w:val="22"/>
        </w:rPr>
      </w:pPr>
      <w:r>
        <w:rPr>
          <w:rFonts w:ascii="Tahoma" w:eastAsia="Tahoma" w:hAnsi="Tahoma" w:cs="Tahoma"/>
          <w:b/>
          <w:sz w:val="22"/>
          <w:szCs w:val="22"/>
        </w:rPr>
        <w:t>Vereador</w:t>
      </w:r>
    </w:p>
    <w:p w:rsidR="009E1D65" w:rsidRDefault="009E1D65">
      <w:pPr>
        <w:spacing w:line="360" w:lineRule="auto"/>
        <w:jc w:val="center"/>
        <w:rPr>
          <w:rFonts w:ascii="Tahoma" w:eastAsia="Tahoma" w:hAnsi="Tahoma" w:cs="Tahoma"/>
          <w:b/>
          <w:sz w:val="22"/>
          <w:szCs w:val="22"/>
        </w:rPr>
      </w:pPr>
    </w:p>
    <w:p w:rsidR="00811360" w:rsidRDefault="00811360">
      <w:pPr>
        <w:spacing w:line="360" w:lineRule="auto"/>
        <w:jc w:val="center"/>
        <w:rPr>
          <w:rFonts w:ascii="Tahoma" w:eastAsia="Tahoma" w:hAnsi="Tahoma" w:cs="Tahoma"/>
          <w:b/>
          <w:sz w:val="22"/>
          <w:szCs w:val="22"/>
        </w:rPr>
      </w:pPr>
    </w:p>
    <w:p w:rsidR="00811360" w:rsidRDefault="00811360">
      <w:pPr>
        <w:spacing w:line="360" w:lineRule="auto"/>
        <w:jc w:val="center"/>
        <w:rPr>
          <w:rFonts w:ascii="Tahoma" w:eastAsia="Tahoma" w:hAnsi="Tahoma" w:cs="Tahoma"/>
          <w:b/>
          <w:sz w:val="22"/>
          <w:szCs w:val="22"/>
        </w:rPr>
      </w:pPr>
    </w:p>
    <w:p w:rsidR="00811360" w:rsidRDefault="00811360">
      <w:pPr>
        <w:spacing w:line="360" w:lineRule="auto"/>
        <w:jc w:val="center"/>
        <w:rPr>
          <w:rFonts w:ascii="Tahoma" w:eastAsia="Tahoma" w:hAnsi="Tahoma" w:cs="Tahoma"/>
          <w:b/>
          <w:sz w:val="22"/>
          <w:szCs w:val="22"/>
        </w:rPr>
      </w:pPr>
    </w:p>
    <w:p w:rsidR="00D14EFA" w:rsidRDefault="00D14EFA">
      <w:pPr>
        <w:spacing w:line="360" w:lineRule="auto"/>
        <w:jc w:val="center"/>
        <w:rPr>
          <w:rFonts w:ascii="Tahoma" w:eastAsia="Tahoma" w:hAnsi="Tahoma" w:cs="Tahoma"/>
          <w:b/>
          <w:sz w:val="20"/>
          <w:szCs w:val="20"/>
        </w:rPr>
      </w:pPr>
    </w:p>
    <w:p w:rsidR="00D14EFA" w:rsidRDefault="005B63BD">
      <w:pPr>
        <w:spacing w:line="360" w:lineRule="auto"/>
        <w:rPr>
          <w:rFonts w:ascii="Tahoma" w:eastAsia="Tahoma" w:hAnsi="Tahoma" w:cs="Tahoma"/>
          <w:b/>
          <w:sz w:val="22"/>
          <w:szCs w:val="22"/>
        </w:rPr>
      </w:pPr>
      <w:r>
        <w:rPr>
          <w:rFonts w:ascii="Tahoma" w:eastAsia="Tahoma" w:hAnsi="Tahoma" w:cs="Tahoma"/>
          <w:b/>
          <w:sz w:val="22"/>
          <w:szCs w:val="22"/>
        </w:rPr>
        <w:lastRenderedPageBreak/>
        <w:t>JUSTIFICATIVA:</w:t>
      </w:r>
    </w:p>
    <w:p w:rsidR="005E150C" w:rsidRDefault="005B63BD">
      <w:pPr>
        <w:spacing w:line="360" w:lineRule="auto"/>
        <w:jc w:val="both"/>
        <w:rPr>
          <w:rFonts w:ascii="Tahoma" w:eastAsia="Tahoma" w:hAnsi="Tahoma" w:cs="Tahoma"/>
          <w:sz w:val="22"/>
          <w:szCs w:val="22"/>
        </w:rPr>
      </w:pPr>
      <w:r>
        <w:rPr>
          <w:rFonts w:ascii="Tahoma" w:eastAsia="Tahoma" w:hAnsi="Tahoma" w:cs="Tahoma"/>
          <w:sz w:val="22"/>
          <w:szCs w:val="22"/>
        </w:rPr>
        <w:t xml:space="preserve">A presente emenda visa </w:t>
      </w:r>
      <w:r>
        <w:rPr>
          <w:rFonts w:ascii="Tahoma" w:eastAsia="Tahoma" w:hAnsi="Tahoma" w:cs="Tahoma"/>
          <w:b/>
          <w:sz w:val="22"/>
          <w:szCs w:val="22"/>
        </w:rPr>
        <w:t>restabelecer o cumprimento dos dispositivos legais</w:t>
      </w:r>
      <w:r>
        <w:rPr>
          <w:rFonts w:ascii="Tahoma" w:eastAsia="Tahoma" w:hAnsi="Tahoma" w:cs="Tahoma"/>
          <w:sz w:val="22"/>
          <w:szCs w:val="22"/>
        </w:rPr>
        <w:t xml:space="preserve"> em vigência, a saber: o </w:t>
      </w:r>
      <w:r>
        <w:rPr>
          <w:rFonts w:ascii="Tahoma" w:eastAsia="Tahoma" w:hAnsi="Tahoma" w:cs="Tahoma"/>
          <w:b/>
          <w:sz w:val="22"/>
          <w:szCs w:val="22"/>
        </w:rPr>
        <w:t>Código das Águas</w:t>
      </w:r>
      <w:r>
        <w:rPr>
          <w:rFonts w:ascii="Tahoma" w:eastAsia="Tahoma" w:hAnsi="Tahoma" w:cs="Tahoma"/>
          <w:sz w:val="22"/>
          <w:szCs w:val="22"/>
        </w:rPr>
        <w:t xml:space="preserve"> (Decreto Lei 24643/</w:t>
      </w:r>
      <w:r w:rsidR="005E150C">
        <w:rPr>
          <w:rFonts w:ascii="Tahoma" w:eastAsia="Tahoma" w:hAnsi="Tahoma" w:cs="Tahoma"/>
          <w:sz w:val="22"/>
          <w:szCs w:val="22"/>
        </w:rPr>
        <w:t>19</w:t>
      </w:r>
      <w:r>
        <w:rPr>
          <w:rFonts w:ascii="Tahoma" w:eastAsia="Tahoma" w:hAnsi="Tahoma" w:cs="Tahoma"/>
          <w:sz w:val="22"/>
          <w:szCs w:val="22"/>
        </w:rPr>
        <w:t xml:space="preserve">34) e legislação correlata - apresentada ao final deste texto justificativo; com especial atenção para a </w:t>
      </w:r>
      <w:r>
        <w:rPr>
          <w:rFonts w:ascii="Tahoma" w:eastAsia="Tahoma" w:hAnsi="Tahoma" w:cs="Tahoma"/>
          <w:b/>
          <w:sz w:val="22"/>
          <w:szCs w:val="22"/>
        </w:rPr>
        <w:t>Política Nacional de Recursos Hídricos</w:t>
      </w:r>
      <w:r>
        <w:rPr>
          <w:rFonts w:ascii="Tahoma" w:eastAsia="Tahoma" w:hAnsi="Tahoma" w:cs="Tahoma"/>
          <w:sz w:val="22"/>
          <w:szCs w:val="22"/>
        </w:rPr>
        <w:t xml:space="preserve"> (Lei 9433/</w:t>
      </w:r>
      <w:r w:rsidR="005E150C">
        <w:rPr>
          <w:rFonts w:ascii="Tahoma" w:eastAsia="Tahoma" w:hAnsi="Tahoma" w:cs="Tahoma"/>
          <w:sz w:val="22"/>
          <w:szCs w:val="22"/>
        </w:rPr>
        <w:t>19</w:t>
      </w:r>
      <w:r>
        <w:rPr>
          <w:rFonts w:ascii="Tahoma" w:eastAsia="Tahoma" w:hAnsi="Tahoma" w:cs="Tahoma"/>
          <w:sz w:val="22"/>
          <w:szCs w:val="22"/>
        </w:rPr>
        <w:t xml:space="preserve">97), </w:t>
      </w:r>
      <w:r w:rsidR="00F94A09">
        <w:rPr>
          <w:rFonts w:ascii="Tahoma" w:eastAsia="Tahoma" w:hAnsi="Tahoma" w:cs="Tahoma"/>
          <w:sz w:val="22"/>
          <w:szCs w:val="22"/>
        </w:rPr>
        <w:t xml:space="preserve">o </w:t>
      </w:r>
      <w:r w:rsidR="00F94A09">
        <w:rPr>
          <w:rFonts w:ascii="Tahoma" w:eastAsia="Tahoma" w:hAnsi="Tahoma" w:cs="Tahoma"/>
          <w:b/>
          <w:sz w:val="22"/>
          <w:szCs w:val="22"/>
        </w:rPr>
        <w:t xml:space="preserve">Código Florestal </w:t>
      </w:r>
      <w:r w:rsidR="00F94A09" w:rsidRPr="00F94A09">
        <w:rPr>
          <w:rFonts w:ascii="Tahoma" w:eastAsia="Tahoma" w:hAnsi="Tahoma" w:cs="Tahoma"/>
          <w:sz w:val="22"/>
          <w:szCs w:val="22"/>
        </w:rPr>
        <w:t>(Lei 12.651/2012)</w:t>
      </w:r>
      <w:r w:rsidR="00582313">
        <w:rPr>
          <w:rFonts w:ascii="Tahoma" w:eastAsia="Tahoma" w:hAnsi="Tahoma" w:cs="Tahoma"/>
          <w:sz w:val="22"/>
          <w:szCs w:val="22"/>
        </w:rPr>
        <w:t xml:space="preserve">, o </w:t>
      </w:r>
      <w:r w:rsidR="00AA3473">
        <w:rPr>
          <w:rFonts w:ascii="Tahoma" w:eastAsia="Tahoma" w:hAnsi="Tahoma" w:cs="Tahoma"/>
          <w:b/>
          <w:sz w:val="22"/>
          <w:szCs w:val="22"/>
        </w:rPr>
        <w:t>Código Municipal Ambiental</w:t>
      </w:r>
      <w:r w:rsidR="00AA3473">
        <w:rPr>
          <w:rFonts w:ascii="Tahoma" w:eastAsia="Tahoma" w:hAnsi="Tahoma" w:cs="Tahoma"/>
          <w:sz w:val="22"/>
          <w:szCs w:val="22"/>
        </w:rPr>
        <w:t xml:space="preserve">(Lei </w:t>
      </w:r>
      <w:r w:rsidR="00AA3473" w:rsidRPr="00AA3473">
        <w:rPr>
          <w:rFonts w:ascii="Tahoma" w:eastAsia="Tahoma" w:hAnsi="Tahoma" w:cs="Tahoma"/>
          <w:sz w:val="22"/>
          <w:szCs w:val="22"/>
        </w:rPr>
        <w:t>2602</w:t>
      </w:r>
      <w:r w:rsidR="00AA3473">
        <w:rPr>
          <w:rFonts w:ascii="Tahoma" w:eastAsia="Tahoma" w:hAnsi="Tahoma" w:cs="Tahoma"/>
          <w:sz w:val="22"/>
          <w:szCs w:val="22"/>
        </w:rPr>
        <w:t>/</w:t>
      </w:r>
      <w:r w:rsidR="00AA3473" w:rsidRPr="00AA3473">
        <w:rPr>
          <w:rFonts w:ascii="Tahoma" w:eastAsia="Tahoma" w:hAnsi="Tahoma" w:cs="Tahoma"/>
          <w:sz w:val="22"/>
          <w:szCs w:val="22"/>
        </w:rPr>
        <w:t>2008</w:t>
      </w:r>
      <w:r w:rsidR="00AA3473">
        <w:rPr>
          <w:rFonts w:ascii="Tahoma" w:eastAsia="Tahoma" w:hAnsi="Tahoma" w:cs="Tahoma"/>
          <w:sz w:val="22"/>
          <w:szCs w:val="22"/>
        </w:rPr>
        <w:t xml:space="preserve">) </w:t>
      </w:r>
      <w:r>
        <w:rPr>
          <w:rFonts w:ascii="Tahoma" w:eastAsia="Tahoma" w:hAnsi="Tahoma" w:cs="Tahoma"/>
          <w:sz w:val="22"/>
          <w:szCs w:val="22"/>
        </w:rPr>
        <w:t xml:space="preserve">assim como busca </w:t>
      </w:r>
      <w:r>
        <w:rPr>
          <w:rFonts w:ascii="Tahoma" w:eastAsia="Tahoma" w:hAnsi="Tahoma" w:cs="Tahoma"/>
          <w:b/>
          <w:sz w:val="22"/>
          <w:szCs w:val="22"/>
        </w:rPr>
        <w:t xml:space="preserve">proteger os territórios marginais aos corpos hídricos que apresentam potencial risco de inundações </w:t>
      </w:r>
      <w:r w:rsidR="007B5421" w:rsidRPr="007B5421">
        <w:rPr>
          <w:rFonts w:ascii="Tahoma" w:eastAsia="Tahoma" w:hAnsi="Tahoma" w:cs="Tahoma"/>
          <w:b/>
          <w:sz w:val="22"/>
          <w:szCs w:val="22"/>
        </w:rPr>
        <w:t>em virtude das mudanças climáticas em curso</w:t>
      </w:r>
      <w:r>
        <w:rPr>
          <w:rFonts w:ascii="Tahoma" w:eastAsia="Tahoma" w:hAnsi="Tahoma" w:cs="Tahoma"/>
          <w:sz w:val="22"/>
          <w:szCs w:val="22"/>
        </w:rPr>
        <w:t xml:space="preserve">- segundo estudos apresentados pela SECLIMA, principalmente no que se refere à região da bacia hídrica do </w:t>
      </w:r>
      <w:r w:rsidR="005E150C" w:rsidRPr="005E150C">
        <w:rPr>
          <w:rFonts w:ascii="Tahoma" w:eastAsia="Tahoma" w:hAnsi="Tahoma" w:cs="Tahoma"/>
          <w:b/>
          <w:sz w:val="22"/>
          <w:szCs w:val="22"/>
        </w:rPr>
        <w:t>S</w:t>
      </w:r>
      <w:r w:rsidR="00AA3473">
        <w:rPr>
          <w:rFonts w:ascii="Tahoma" w:eastAsia="Tahoma" w:hAnsi="Tahoma" w:cs="Tahoma"/>
          <w:b/>
          <w:sz w:val="22"/>
          <w:szCs w:val="22"/>
        </w:rPr>
        <w:t>istema L</w:t>
      </w:r>
      <w:r w:rsidRPr="005E150C">
        <w:rPr>
          <w:rFonts w:ascii="Tahoma" w:eastAsia="Tahoma" w:hAnsi="Tahoma" w:cs="Tahoma"/>
          <w:b/>
          <w:sz w:val="22"/>
          <w:szCs w:val="22"/>
        </w:rPr>
        <w:t>agunar Piratininga-Itaipu</w:t>
      </w:r>
      <w:r>
        <w:rPr>
          <w:rFonts w:ascii="Tahoma" w:eastAsia="Tahoma" w:hAnsi="Tahoma" w:cs="Tahoma"/>
          <w:sz w:val="22"/>
          <w:szCs w:val="22"/>
        </w:rPr>
        <w:t xml:space="preserve">; e </w:t>
      </w:r>
      <w:r w:rsidRPr="005E150C">
        <w:rPr>
          <w:rFonts w:ascii="Tahoma" w:eastAsia="Tahoma" w:hAnsi="Tahoma" w:cs="Tahoma"/>
          <w:b/>
          <w:sz w:val="22"/>
          <w:szCs w:val="22"/>
        </w:rPr>
        <w:t>resguardar o meio ambiente natural</w:t>
      </w:r>
      <w:r>
        <w:rPr>
          <w:rFonts w:ascii="Tahoma" w:eastAsia="Tahoma" w:hAnsi="Tahoma" w:cs="Tahoma"/>
          <w:sz w:val="22"/>
          <w:szCs w:val="22"/>
        </w:rPr>
        <w:t>, abarcando seu potencial</w:t>
      </w:r>
      <w:r w:rsidR="005E150C">
        <w:rPr>
          <w:rFonts w:ascii="Tahoma" w:eastAsia="Tahoma" w:hAnsi="Tahoma" w:cs="Tahoma"/>
          <w:sz w:val="22"/>
          <w:szCs w:val="22"/>
        </w:rPr>
        <w:t xml:space="preserve">: </w:t>
      </w:r>
    </w:p>
    <w:p w:rsidR="009E1D65" w:rsidRDefault="009E1D65">
      <w:pPr>
        <w:spacing w:line="360" w:lineRule="auto"/>
        <w:jc w:val="both"/>
        <w:rPr>
          <w:rFonts w:ascii="Tahoma" w:eastAsia="Tahoma" w:hAnsi="Tahoma" w:cs="Tahoma"/>
          <w:sz w:val="22"/>
          <w:szCs w:val="22"/>
        </w:rPr>
      </w:pPr>
      <w:bookmarkStart w:id="0" w:name="_GoBack"/>
      <w:bookmarkEnd w:id="0"/>
    </w:p>
    <w:p w:rsidR="005E150C" w:rsidRDefault="005E150C">
      <w:pPr>
        <w:spacing w:line="360" w:lineRule="auto"/>
        <w:jc w:val="both"/>
        <w:rPr>
          <w:rFonts w:ascii="Tahoma" w:eastAsia="Tahoma" w:hAnsi="Tahoma" w:cs="Tahoma"/>
          <w:sz w:val="22"/>
          <w:szCs w:val="22"/>
        </w:rPr>
      </w:pPr>
      <w:r>
        <w:rPr>
          <w:rFonts w:ascii="Tahoma" w:eastAsia="Tahoma" w:hAnsi="Tahoma" w:cs="Tahoma"/>
          <w:sz w:val="22"/>
          <w:szCs w:val="22"/>
        </w:rPr>
        <w:t xml:space="preserve">1) cultural e arqueológico, </w:t>
      </w:r>
    </w:p>
    <w:p w:rsidR="005E150C" w:rsidRDefault="005E150C">
      <w:pPr>
        <w:spacing w:line="360" w:lineRule="auto"/>
        <w:jc w:val="both"/>
        <w:rPr>
          <w:rFonts w:ascii="Tahoma" w:eastAsia="Tahoma" w:hAnsi="Tahoma" w:cs="Tahoma"/>
          <w:sz w:val="22"/>
          <w:szCs w:val="22"/>
        </w:rPr>
      </w:pPr>
      <w:r>
        <w:rPr>
          <w:rFonts w:ascii="Tahoma" w:eastAsia="Tahoma" w:hAnsi="Tahoma" w:cs="Tahoma"/>
          <w:sz w:val="22"/>
          <w:szCs w:val="22"/>
        </w:rPr>
        <w:t>2)</w:t>
      </w:r>
      <w:r w:rsidR="005B63BD">
        <w:rPr>
          <w:rFonts w:ascii="Tahoma" w:eastAsia="Tahoma" w:hAnsi="Tahoma" w:cs="Tahoma"/>
          <w:sz w:val="22"/>
          <w:szCs w:val="22"/>
        </w:rPr>
        <w:t xml:space="preserve"> potencial de desenvolvimento econômico tanto pelo viés turístico como pela </w:t>
      </w:r>
      <w:r>
        <w:rPr>
          <w:rFonts w:ascii="Tahoma" w:eastAsia="Tahoma" w:hAnsi="Tahoma" w:cs="Tahoma"/>
          <w:sz w:val="22"/>
          <w:szCs w:val="22"/>
        </w:rPr>
        <w:t xml:space="preserve">manutenção da </w:t>
      </w:r>
      <w:r w:rsidR="005B63BD">
        <w:rPr>
          <w:rFonts w:ascii="Tahoma" w:eastAsia="Tahoma" w:hAnsi="Tahoma" w:cs="Tahoma"/>
          <w:sz w:val="22"/>
          <w:szCs w:val="22"/>
        </w:rPr>
        <w:t xml:space="preserve">cultura de subsistência das comunidades tradicionais - diminuindo desigualdades sociais, </w:t>
      </w:r>
    </w:p>
    <w:p w:rsidR="007049E0" w:rsidRDefault="005E150C">
      <w:pPr>
        <w:spacing w:line="360" w:lineRule="auto"/>
        <w:jc w:val="both"/>
        <w:rPr>
          <w:rFonts w:ascii="Tahoma" w:eastAsia="Tahoma" w:hAnsi="Tahoma" w:cs="Tahoma"/>
          <w:sz w:val="22"/>
          <w:szCs w:val="22"/>
        </w:rPr>
      </w:pPr>
      <w:r>
        <w:rPr>
          <w:rFonts w:ascii="Tahoma" w:eastAsia="Tahoma" w:hAnsi="Tahoma" w:cs="Tahoma"/>
          <w:sz w:val="22"/>
          <w:szCs w:val="22"/>
        </w:rPr>
        <w:t xml:space="preserve">3) </w:t>
      </w:r>
      <w:r w:rsidR="005B63BD">
        <w:rPr>
          <w:rFonts w:ascii="Tahoma" w:eastAsia="Tahoma" w:hAnsi="Tahoma" w:cs="Tahoma"/>
          <w:sz w:val="22"/>
          <w:szCs w:val="22"/>
        </w:rPr>
        <w:t xml:space="preserve">potencial de promoção de saúde e bem estar comunitário. </w:t>
      </w:r>
    </w:p>
    <w:p w:rsidR="004B62FB" w:rsidRDefault="004B62FB">
      <w:pPr>
        <w:spacing w:line="360" w:lineRule="auto"/>
        <w:jc w:val="both"/>
        <w:rPr>
          <w:rFonts w:ascii="Tahoma" w:eastAsia="Tahoma" w:hAnsi="Tahoma" w:cs="Tahoma"/>
          <w:sz w:val="22"/>
          <w:szCs w:val="22"/>
        </w:rPr>
      </w:pPr>
    </w:p>
    <w:p w:rsidR="004B62FB" w:rsidRDefault="005B63BD" w:rsidP="004B62FB">
      <w:pPr>
        <w:spacing w:line="360" w:lineRule="auto"/>
        <w:jc w:val="both"/>
        <w:rPr>
          <w:rFonts w:ascii="Tahoma" w:eastAsia="Tahoma" w:hAnsi="Tahoma" w:cs="Tahoma"/>
          <w:sz w:val="22"/>
          <w:szCs w:val="22"/>
        </w:rPr>
      </w:pPr>
      <w:r>
        <w:rPr>
          <w:rFonts w:ascii="Tahoma" w:eastAsia="Tahoma" w:hAnsi="Tahoma" w:cs="Tahoma"/>
          <w:sz w:val="22"/>
          <w:szCs w:val="22"/>
        </w:rPr>
        <w:t xml:space="preserve">Ao pretender restituir a proibição de intervenção no solo para fins urbanos em </w:t>
      </w:r>
      <w:r w:rsidR="00E938CB" w:rsidRPr="00E938CB">
        <w:rPr>
          <w:rFonts w:ascii="Tahoma" w:eastAsia="Tahoma" w:hAnsi="Tahoma" w:cs="Tahoma"/>
          <w:sz w:val="22"/>
          <w:szCs w:val="22"/>
        </w:rPr>
        <w:t xml:space="preserve">áreas úmidas, alagadiços, áreas sujeitas a inundações, nascentes perenes ou intermitentes, manguezais, restingas, várzeas de inundação e demais áreas </w:t>
      </w:r>
      <w:r w:rsidR="00C23043">
        <w:rPr>
          <w:rFonts w:ascii="Tahoma" w:eastAsia="Tahoma" w:hAnsi="Tahoma" w:cs="Tahoma"/>
          <w:sz w:val="22"/>
          <w:szCs w:val="22"/>
        </w:rPr>
        <w:t xml:space="preserve">de proteção permanente </w:t>
      </w:r>
      <w:r w:rsidR="00E938CB" w:rsidRPr="00E938CB">
        <w:rPr>
          <w:rFonts w:ascii="Tahoma" w:eastAsia="Tahoma" w:hAnsi="Tahoma" w:cs="Tahoma"/>
          <w:sz w:val="22"/>
          <w:szCs w:val="22"/>
        </w:rPr>
        <w:t>des</w:t>
      </w:r>
      <w:r w:rsidR="004B62FB">
        <w:rPr>
          <w:rFonts w:ascii="Tahoma" w:eastAsia="Tahoma" w:hAnsi="Tahoma" w:cs="Tahoma"/>
          <w:sz w:val="22"/>
          <w:szCs w:val="22"/>
        </w:rPr>
        <w:t>critas na Lei 12.651/2012 (</w:t>
      </w:r>
      <w:r w:rsidR="00E938CB" w:rsidRPr="00E938CB">
        <w:rPr>
          <w:rFonts w:ascii="Tahoma" w:eastAsia="Tahoma" w:hAnsi="Tahoma" w:cs="Tahoma"/>
          <w:sz w:val="22"/>
          <w:szCs w:val="22"/>
        </w:rPr>
        <w:t>Código Florestal)</w:t>
      </w:r>
      <w:r>
        <w:rPr>
          <w:rFonts w:ascii="Tahoma" w:eastAsia="Tahoma" w:hAnsi="Tahoma" w:cs="Tahoma"/>
          <w:sz w:val="22"/>
          <w:szCs w:val="22"/>
        </w:rPr>
        <w:t xml:space="preserve">, </w:t>
      </w:r>
      <w:r>
        <w:rPr>
          <w:rFonts w:ascii="Tahoma" w:eastAsia="Tahoma" w:hAnsi="Tahoma" w:cs="Tahoma"/>
          <w:b/>
          <w:sz w:val="22"/>
          <w:szCs w:val="22"/>
        </w:rPr>
        <w:t>nossa emenda cumpre, direta ou indiretamente, 10 dos 17 Objetivos de Desenvolvimento Sustentável propostos pela ONU</w:t>
      </w:r>
      <w:r>
        <w:rPr>
          <w:rFonts w:ascii="Tahoma" w:eastAsia="Tahoma" w:hAnsi="Tahoma" w:cs="Tahoma"/>
          <w:b/>
          <w:sz w:val="22"/>
          <w:szCs w:val="22"/>
          <w:vertAlign w:val="superscript"/>
        </w:rPr>
        <w:footnoteReference w:id="2"/>
      </w:r>
      <w:r>
        <w:rPr>
          <w:rFonts w:ascii="Tahoma" w:eastAsia="Tahoma" w:hAnsi="Tahoma" w:cs="Tahoma"/>
          <w:sz w:val="22"/>
          <w:szCs w:val="22"/>
        </w:rPr>
        <w:t xml:space="preserve">, principalmente no que se refere ao nosso principal enfoque: o </w:t>
      </w:r>
      <w:r w:rsidR="00E938CB">
        <w:rPr>
          <w:rFonts w:ascii="Tahoma" w:eastAsia="Tahoma" w:hAnsi="Tahoma" w:cs="Tahoma"/>
          <w:b/>
          <w:sz w:val="22"/>
          <w:szCs w:val="22"/>
        </w:rPr>
        <w:t>S</w:t>
      </w:r>
      <w:r w:rsidR="007B5421">
        <w:rPr>
          <w:rFonts w:ascii="Tahoma" w:eastAsia="Tahoma" w:hAnsi="Tahoma" w:cs="Tahoma"/>
          <w:b/>
          <w:sz w:val="22"/>
          <w:szCs w:val="22"/>
        </w:rPr>
        <w:t>istema L</w:t>
      </w:r>
      <w:r>
        <w:rPr>
          <w:rFonts w:ascii="Tahoma" w:eastAsia="Tahoma" w:hAnsi="Tahoma" w:cs="Tahoma"/>
          <w:b/>
          <w:sz w:val="22"/>
          <w:szCs w:val="22"/>
        </w:rPr>
        <w:t>agunar Piratininga-Itaipu e seu entorno</w:t>
      </w:r>
      <w:r>
        <w:rPr>
          <w:rFonts w:ascii="Tahoma" w:eastAsia="Tahoma" w:hAnsi="Tahoma" w:cs="Tahoma"/>
          <w:sz w:val="22"/>
          <w:szCs w:val="22"/>
        </w:rPr>
        <w:t>.</w:t>
      </w:r>
    </w:p>
    <w:p w:rsidR="004B62FB" w:rsidRDefault="004B62FB" w:rsidP="004B62FB">
      <w:pPr>
        <w:spacing w:line="360" w:lineRule="auto"/>
        <w:jc w:val="center"/>
        <w:rPr>
          <w:rFonts w:ascii="Tahoma" w:eastAsia="Tahoma" w:hAnsi="Tahoma" w:cs="Tahoma"/>
          <w:sz w:val="22"/>
          <w:szCs w:val="22"/>
        </w:rPr>
      </w:pPr>
    </w:p>
    <w:p w:rsidR="007049E0" w:rsidRDefault="005B63BD" w:rsidP="004B62FB">
      <w:pPr>
        <w:spacing w:line="360" w:lineRule="auto"/>
        <w:jc w:val="center"/>
        <w:rPr>
          <w:rFonts w:ascii="Tahoma" w:eastAsia="Tahoma" w:hAnsi="Tahoma" w:cs="Tahoma"/>
          <w:sz w:val="22"/>
          <w:szCs w:val="22"/>
        </w:rPr>
      </w:pPr>
      <w:r>
        <w:rPr>
          <w:rFonts w:ascii="Tahoma" w:eastAsia="Tahoma" w:hAnsi="Tahoma" w:cs="Tahoma"/>
          <w:b/>
          <w:noProof/>
          <w:sz w:val="22"/>
          <w:szCs w:val="22"/>
          <w:lang w:eastAsia="pt-BR"/>
        </w:rPr>
        <w:drawing>
          <wp:inline distT="114300" distB="114300" distL="114300" distR="114300">
            <wp:extent cx="4238382" cy="1843863"/>
            <wp:effectExtent l="0" t="0" r="0" b="4445"/>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cstate="print"/>
                    <a:srcRect t="6362" b="9293"/>
                    <a:stretch>
                      <a:fillRect/>
                    </a:stretch>
                  </pic:blipFill>
                  <pic:spPr>
                    <a:xfrm>
                      <a:off x="0" y="0"/>
                      <a:ext cx="4238382" cy="1843863"/>
                    </a:xfrm>
                    <a:prstGeom prst="rect">
                      <a:avLst/>
                    </a:prstGeom>
                    <a:ln/>
                  </pic:spPr>
                </pic:pic>
              </a:graphicData>
            </a:graphic>
          </wp:inline>
        </w:drawing>
      </w:r>
    </w:p>
    <w:p w:rsidR="007049E0" w:rsidRDefault="005B63BD">
      <w:pPr>
        <w:spacing w:line="360" w:lineRule="auto"/>
        <w:jc w:val="both"/>
        <w:rPr>
          <w:rFonts w:ascii="Tahoma" w:eastAsia="Tahoma" w:hAnsi="Tahoma" w:cs="Tahoma"/>
          <w:sz w:val="22"/>
          <w:szCs w:val="22"/>
        </w:rPr>
      </w:pPr>
      <w:r>
        <w:rPr>
          <w:rFonts w:ascii="Tahoma" w:eastAsia="Tahoma" w:hAnsi="Tahoma" w:cs="Tahoma"/>
          <w:sz w:val="22"/>
          <w:szCs w:val="22"/>
        </w:rPr>
        <w:lastRenderedPageBreak/>
        <w:t xml:space="preserve">Desde a década de 1940, a </w:t>
      </w:r>
      <w:r w:rsidR="00E938CB">
        <w:rPr>
          <w:rFonts w:ascii="Tahoma" w:eastAsia="Tahoma" w:hAnsi="Tahoma" w:cs="Tahoma"/>
          <w:sz w:val="22"/>
          <w:szCs w:val="22"/>
        </w:rPr>
        <w:t>R</w:t>
      </w:r>
      <w:r>
        <w:rPr>
          <w:rFonts w:ascii="Tahoma" w:eastAsia="Tahoma" w:hAnsi="Tahoma" w:cs="Tahoma"/>
          <w:sz w:val="22"/>
          <w:szCs w:val="22"/>
        </w:rPr>
        <w:t xml:space="preserve">egião </w:t>
      </w:r>
      <w:r w:rsidR="00E938CB">
        <w:rPr>
          <w:rFonts w:ascii="Tahoma" w:eastAsia="Tahoma" w:hAnsi="Tahoma" w:cs="Tahoma"/>
          <w:sz w:val="22"/>
          <w:szCs w:val="22"/>
        </w:rPr>
        <w:t>O</w:t>
      </w:r>
      <w:r>
        <w:rPr>
          <w:rFonts w:ascii="Tahoma" w:eastAsia="Tahoma" w:hAnsi="Tahoma" w:cs="Tahoma"/>
          <w:sz w:val="22"/>
          <w:szCs w:val="22"/>
        </w:rPr>
        <w:t>ceânica</w:t>
      </w:r>
      <w:r w:rsidR="00E938CB">
        <w:rPr>
          <w:rFonts w:ascii="Tahoma" w:eastAsia="Tahoma" w:hAnsi="Tahoma" w:cs="Tahoma"/>
          <w:sz w:val="22"/>
          <w:szCs w:val="22"/>
        </w:rPr>
        <w:t xml:space="preserve"> de Niterói</w:t>
      </w:r>
      <w:r>
        <w:rPr>
          <w:rFonts w:ascii="Tahoma" w:eastAsia="Tahoma" w:hAnsi="Tahoma" w:cs="Tahoma"/>
          <w:sz w:val="22"/>
          <w:szCs w:val="22"/>
        </w:rPr>
        <w:t xml:space="preserve"> é considerada como área de expansã</w:t>
      </w:r>
      <w:r w:rsidR="00D861B7">
        <w:rPr>
          <w:rFonts w:ascii="Tahoma" w:eastAsia="Tahoma" w:hAnsi="Tahoma" w:cs="Tahoma"/>
          <w:sz w:val="22"/>
          <w:szCs w:val="22"/>
        </w:rPr>
        <w:t>o urbana do município</w:t>
      </w:r>
      <w:r>
        <w:rPr>
          <w:rFonts w:ascii="Tahoma" w:eastAsia="Tahoma" w:hAnsi="Tahoma" w:cs="Tahoma"/>
          <w:sz w:val="22"/>
          <w:szCs w:val="22"/>
        </w:rPr>
        <w:t xml:space="preserve">. É a partir dessa década que a </w:t>
      </w:r>
      <w:r w:rsidR="00E938CB">
        <w:rPr>
          <w:rFonts w:ascii="Tahoma" w:eastAsia="Tahoma" w:hAnsi="Tahoma" w:cs="Tahoma"/>
          <w:sz w:val="22"/>
          <w:szCs w:val="22"/>
        </w:rPr>
        <w:t>localidade</w:t>
      </w:r>
      <w:r>
        <w:rPr>
          <w:rFonts w:ascii="Tahoma" w:eastAsia="Tahoma" w:hAnsi="Tahoma" w:cs="Tahoma"/>
          <w:sz w:val="22"/>
          <w:szCs w:val="22"/>
        </w:rPr>
        <w:t xml:space="preserve"> recebe seus primeiros loteamentos</w:t>
      </w:r>
      <w:r w:rsidR="00D861B7">
        <w:rPr>
          <w:rFonts w:ascii="Tahoma" w:eastAsia="Tahoma" w:hAnsi="Tahoma" w:cs="Tahoma"/>
          <w:sz w:val="22"/>
          <w:szCs w:val="22"/>
        </w:rPr>
        <w:t xml:space="preserve"> após a anexação do bairro de </w:t>
      </w:r>
      <w:proofErr w:type="spellStart"/>
      <w:r w:rsidR="00D861B7">
        <w:rPr>
          <w:rFonts w:ascii="Tahoma" w:eastAsia="Tahoma" w:hAnsi="Tahoma" w:cs="Tahoma"/>
          <w:sz w:val="22"/>
          <w:szCs w:val="22"/>
        </w:rPr>
        <w:t>Itaipú</w:t>
      </w:r>
      <w:proofErr w:type="spellEnd"/>
      <w:r w:rsidR="00D861B7">
        <w:rPr>
          <w:rFonts w:ascii="Tahoma" w:eastAsia="Tahoma" w:hAnsi="Tahoma" w:cs="Tahoma"/>
          <w:sz w:val="22"/>
          <w:szCs w:val="22"/>
        </w:rPr>
        <w:t xml:space="preserve"> a Niterói</w:t>
      </w:r>
      <w:r>
        <w:rPr>
          <w:rFonts w:ascii="Tahoma" w:eastAsia="Tahoma" w:hAnsi="Tahoma" w:cs="Tahoma"/>
          <w:sz w:val="22"/>
          <w:szCs w:val="22"/>
        </w:rPr>
        <w:t>, através de políticas de incentivo à expansão imobiliária. Em 1946, houve a abertura do Canal de Camboatá pelo Departamento Nacional de Obras e Saneamento (DNOS), canal este de ligação entre as duas Lagoas, construído com o objetivo de conter enchentes e evitar doenças transmitidas por mosquitos.</w:t>
      </w:r>
    </w:p>
    <w:p w:rsidR="007049E0" w:rsidRDefault="007049E0">
      <w:pPr>
        <w:spacing w:line="360" w:lineRule="auto"/>
        <w:jc w:val="both"/>
        <w:rPr>
          <w:rFonts w:ascii="Tahoma" w:eastAsia="Tahoma" w:hAnsi="Tahoma" w:cs="Tahoma"/>
          <w:sz w:val="22"/>
          <w:szCs w:val="22"/>
        </w:rPr>
      </w:pPr>
    </w:p>
    <w:p w:rsidR="00924EC1" w:rsidRDefault="00924EC1">
      <w:pPr>
        <w:spacing w:line="360" w:lineRule="auto"/>
        <w:jc w:val="both"/>
        <w:rPr>
          <w:rFonts w:ascii="Tahoma" w:eastAsia="Tahoma" w:hAnsi="Tahoma" w:cs="Tahoma"/>
          <w:sz w:val="22"/>
          <w:szCs w:val="22"/>
        </w:rPr>
      </w:pPr>
      <w:r>
        <w:rPr>
          <w:rFonts w:ascii="Tahoma" w:eastAsia="Tahoma" w:hAnsi="Tahoma" w:cs="Tahoma"/>
          <w:sz w:val="22"/>
          <w:szCs w:val="22"/>
        </w:rPr>
        <w:t>A</w:t>
      </w:r>
      <w:r w:rsidR="00E938CB">
        <w:rPr>
          <w:rFonts w:ascii="Tahoma" w:eastAsia="Tahoma" w:hAnsi="Tahoma" w:cs="Tahoma"/>
          <w:sz w:val="22"/>
          <w:szCs w:val="22"/>
        </w:rPr>
        <w:t>part</w:t>
      </w:r>
      <w:r>
        <w:rPr>
          <w:rFonts w:ascii="Tahoma" w:eastAsia="Tahoma" w:hAnsi="Tahoma" w:cs="Tahoma"/>
          <w:sz w:val="22"/>
          <w:szCs w:val="22"/>
        </w:rPr>
        <w:t xml:space="preserve">ir da década de 1970, </w:t>
      </w:r>
      <w:r w:rsidR="00E938CB">
        <w:rPr>
          <w:rFonts w:ascii="Tahoma" w:eastAsia="Tahoma" w:hAnsi="Tahoma" w:cs="Tahoma"/>
          <w:sz w:val="22"/>
          <w:szCs w:val="22"/>
        </w:rPr>
        <w:t>o</w:t>
      </w:r>
      <w:r w:rsidR="005B63BD">
        <w:rPr>
          <w:rFonts w:ascii="Tahoma" w:eastAsia="Tahoma" w:hAnsi="Tahoma" w:cs="Tahoma"/>
          <w:sz w:val="22"/>
          <w:szCs w:val="22"/>
        </w:rPr>
        <w:t xml:space="preserve"> processo de ocupação foi fortemente acelerado, decorrente principalmente da inauguração da Ponte Rio-Niterói (1974) e de grandes investimentos do mercado imobiliário na região, cujos interesses foram privilegiados </w:t>
      </w:r>
      <w:r w:rsidR="00E938CB">
        <w:rPr>
          <w:rFonts w:ascii="Tahoma" w:eastAsia="Tahoma" w:hAnsi="Tahoma" w:cs="Tahoma"/>
          <w:sz w:val="22"/>
          <w:szCs w:val="22"/>
        </w:rPr>
        <w:t>por meio de</w:t>
      </w:r>
      <w:r w:rsidR="005B63BD">
        <w:rPr>
          <w:rFonts w:ascii="Tahoma" w:eastAsia="Tahoma" w:hAnsi="Tahoma" w:cs="Tahoma"/>
          <w:sz w:val="22"/>
          <w:szCs w:val="22"/>
        </w:rPr>
        <w:t xml:space="preserve"> diferentes ações do setor público.  </w:t>
      </w:r>
      <w:r>
        <w:rPr>
          <w:rFonts w:ascii="Tahoma" w:eastAsia="Tahoma" w:hAnsi="Tahoma" w:cs="Tahoma"/>
          <w:sz w:val="22"/>
          <w:szCs w:val="22"/>
        </w:rPr>
        <w:t xml:space="preserve">Por este tempo, algumas partes das sub-regiões Piratininga e </w:t>
      </w:r>
      <w:proofErr w:type="spellStart"/>
      <w:r>
        <w:rPr>
          <w:rFonts w:ascii="Tahoma" w:eastAsia="Tahoma" w:hAnsi="Tahoma" w:cs="Tahoma"/>
          <w:sz w:val="22"/>
          <w:szCs w:val="22"/>
        </w:rPr>
        <w:t>Itaipú</w:t>
      </w:r>
      <w:proofErr w:type="spellEnd"/>
      <w:r>
        <w:rPr>
          <w:rFonts w:ascii="Tahoma" w:eastAsia="Tahoma" w:hAnsi="Tahoma" w:cs="Tahoma"/>
          <w:sz w:val="22"/>
          <w:szCs w:val="22"/>
        </w:rPr>
        <w:t xml:space="preserve"> foram loteadas, vendidas e ocupadas. Uma das principais características desses primeiros loteamentos da Região Oceânica era a falta de infraestrutura urbana das áreas loteadas. </w:t>
      </w:r>
    </w:p>
    <w:p w:rsidR="00924EC1" w:rsidRDefault="00924EC1">
      <w:pPr>
        <w:spacing w:line="360" w:lineRule="auto"/>
        <w:jc w:val="both"/>
        <w:rPr>
          <w:rFonts w:ascii="Tahoma" w:eastAsia="Tahoma" w:hAnsi="Tahoma" w:cs="Tahoma"/>
          <w:sz w:val="22"/>
          <w:szCs w:val="22"/>
        </w:rPr>
      </w:pPr>
    </w:p>
    <w:p w:rsidR="00171107" w:rsidRDefault="00E938CB">
      <w:pPr>
        <w:spacing w:line="360" w:lineRule="auto"/>
        <w:jc w:val="both"/>
        <w:rPr>
          <w:rFonts w:ascii="Tahoma" w:eastAsia="Tahoma" w:hAnsi="Tahoma" w:cs="Tahoma"/>
          <w:sz w:val="22"/>
          <w:szCs w:val="22"/>
        </w:rPr>
      </w:pPr>
      <w:r>
        <w:rPr>
          <w:rFonts w:ascii="Tahoma" w:eastAsia="Tahoma" w:hAnsi="Tahoma" w:cs="Tahoma"/>
          <w:sz w:val="22"/>
          <w:szCs w:val="22"/>
        </w:rPr>
        <w:t>O Plano Estrutural de Itaipu foi aprovado 1976, prevendo um novo loteamento nas praias oceânicas, o qual demandou diversas mudanças que ocasionaram grande impacto ambiental</w:t>
      </w:r>
      <w:r w:rsidR="00456FC2">
        <w:rPr>
          <w:rFonts w:ascii="Tahoma" w:eastAsia="Tahoma" w:hAnsi="Tahoma" w:cs="Tahoma"/>
          <w:sz w:val="22"/>
          <w:szCs w:val="22"/>
        </w:rPr>
        <w:t>,</w:t>
      </w:r>
      <w:r>
        <w:rPr>
          <w:rFonts w:ascii="Tahoma" w:eastAsia="Tahoma" w:hAnsi="Tahoma" w:cs="Tahoma"/>
          <w:sz w:val="22"/>
          <w:szCs w:val="22"/>
        </w:rPr>
        <w:t xml:space="preserve"> como </w:t>
      </w:r>
      <w:r w:rsidR="00456FC2">
        <w:rPr>
          <w:rFonts w:ascii="Tahoma" w:eastAsia="Tahoma" w:hAnsi="Tahoma" w:cs="Tahoma"/>
          <w:sz w:val="22"/>
          <w:szCs w:val="22"/>
        </w:rPr>
        <w:t xml:space="preserve">a realização de </w:t>
      </w:r>
      <w:r>
        <w:rPr>
          <w:rFonts w:ascii="Tahoma" w:eastAsia="Tahoma" w:hAnsi="Tahoma" w:cs="Tahoma"/>
          <w:sz w:val="22"/>
          <w:szCs w:val="22"/>
        </w:rPr>
        <w:t>aterros nas áreas de ambas as lagoas</w:t>
      </w:r>
      <w:r w:rsidR="00456FC2">
        <w:rPr>
          <w:rFonts w:ascii="Tahoma" w:eastAsia="Tahoma" w:hAnsi="Tahoma" w:cs="Tahoma"/>
          <w:sz w:val="22"/>
          <w:szCs w:val="22"/>
        </w:rPr>
        <w:t>,</w:t>
      </w:r>
      <w:r>
        <w:rPr>
          <w:rFonts w:ascii="Tahoma" w:eastAsia="Tahoma" w:hAnsi="Tahoma" w:cs="Tahoma"/>
          <w:sz w:val="22"/>
          <w:szCs w:val="22"/>
        </w:rPr>
        <w:t xml:space="preserve"> e a abertura do Canal de </w:t>
      </w:r>
      <w:proofErr w:type="spellStart"/>
      <w:r>
        <w:rPr>
          <w:rFonts w:ascii="Tahoma" w:eastAsia="Tahoma" w:hAnsi="Tahoma" w:cs="Tahoma"/>
          <w:sz w:val="22"/>
          <w:szCs w:val="22"/>
        </w:rPr>
        <w:t>Itaipú</w:t>
      </w:r>
      <w:proofErr w:type="spellEnd"/>
      <w:r>
        <w:rPr>
          <w:rFonts w:ascii="Tahoma" w:eastAsia="Tahoma" w:hAnsi="Tahoma" w:cs="Tahoma"/>
          <w:sz w:val="22"/>
          <w:szCs w:val="22"/>
        </w:rPr>
        <w:t>, também conhecido como ‘Canal da Vergonha’</w:t>
      </w:r>
      <w:r w:rsidR="004074CC">
        <w:rPr>
          <w:rFonts w:ascii="Tahoma" w:eastAsia="Tahoma" w:hAnsi="Tahoma" w:cs="Tahoma"/>
          <w:sz w:val="22"/>
          <w:szCs w:val="22"/>
        </w:rPr>
        <w:t xml:space="preserve"> pelos então moradores da região.</w:t>
      </w:r>
      <w:r w:rsidR="005B63BD">
        <w:rPr>
          <w:rFonts w:ascii="Tahoma" w:eastAsia="Tahoma" w:hAnsi="Tahoma" w:cs="Tahoma"/>
          <w:sz w:val="22"/>
          <w:szCs w:val="22"/>
        </w:rPr>
        <w:t xml:space="preserve">Inserido no Plano Estrutural de Itaipu, o projeto de uma Comunidade Planejada (onde se </w:t>
      </w:r>
      <w:r w:rsidR="004074CC">
        <w:rPr>
          <w:rFonts w:ascii="Tahoma" w:eastAsia="Tahoma" w:hAnsi="Tahoma" w:cs="Tahoma"/>
          <w:sz w:val="22"/>
          <w:szCs w:val="22"/>
        </w:rPr>
        <w:t>localiza</w:t>
      </w:r>
      <w:r w:rsidR="00456FC2">
        <w:rPr>
          <w:rFonts w:ascii="Tahoma" w:eastAsia="Tahoma" w:hAnsi="Tahoma" w:cs="Tahoma"/>
          <w:sz w:val="22"/>
          <w:szCs w:val="22"/>
        </w:rPr>
        <w:t xml:space="preserve"> a praia de Camboinhas</w:t>
      </w:r>
      <w:r w:rsidR="005B63BD">
        <w:rPr>
          <w:rFonts w:ascii="Tahoma" w:eastAsia="Tahoma" w:hAnsi="Tahoma" w:cs="Tahoma"/>
          <w:sz w:val="22"/>
          <w:szCs w:val="22"/>
        </w:rPr>
        <w:t xml:space="preserve">) partiu da aquisição da área pelo grupo </w:t>
      </w:r>
      <w:proofErr w:type="spellStart"/>
      <w:r w:rsidR="005B63BD">
        <w:rPr>
          <w:rFonts w:ascii="Tahoma" w:eastAsia="Tahoma" w:hAnsi="Tahoma" w:cs="Tahoma"/>
          <w:sz w:val="22"/>
          <w:szCs w:val="22"/>
        </w:rPr>
        <w:t>Veplan</w:t>
      </w:r>
      <w:proofErr w:type="spellEnd"/>
      <w:r w:rsidR="005B63BD">
        <w:rPr>
          <w:rFonts w:ascii="Tahoma" w:eastAsia="Tahoma" w:hAnsi="Tahoma" w:cs="Tahoma"/>
          <w:sz w:val="22"/>
          <w:szCs w:val="22"/>
        </w:rPr>
        <w:t xml:space="preserve"> – Residência, em 1973. O projeto idealizado </w:t>
      </w:r>
      <w:r w:rsidR="00924EC1">
        <w:rPr>
          <w:rFonts w:ascii="Tahoma" w:eastAsia="Tahoma" w:hAnsi="Tahoma" w:cs="Tahoma"/>
          <w:sz w:val="22"/>
          <w:szCs w:val="22"/>
        </w:rPr>
        <w:t xml:space="preserve">tinha como referência </w:t>
      </w:r>
      <w:r w:rsidR="005B63BD">
        <w:rPr>
          <w:rFonts w:ascii="Tahoma" w:eastAsia="Tahoma" w:hAnsi="Tahoma" w:cs="Tahoma"/>
          <w:sz w:val="22"/>
          <w:szCs w:val="22"/>
        </w:rPr>
        <w:t xml:space="preserve">cidades balneárias americanas e </w:t>
      </w:r>
      <w:r w:rsidR="00F3000A">
        <w:rPr>
          <w:rFonts w:ascii="Tahoma" w:eastAsia="Tahoma" w:hAnsi="Tahoma" w:cs="Tahoma"/>
          <w:sz w:val="22"/>
          <w:szCs w:val="22"/>
        </w:rPr>
        <w:t>europeias</w:t>
      </w:r>
      <w:r w:rsidR="00924EC1">
        <w:rPr>
          <w:rFonts w:ascii="Tahoma" w:eastAsia="Tahoma" w:hAnsi="Tahoma" w:cs="Tahoma"/>
          <w:sz w:val="22"/>
          <w:szCs w:val="22"/>
        </w:rPr>
        <w:t>, marcadamente caracterizadas por canais navegáveis entrecortando ilhas artificiais.</w:t>
      </w:r>
    </w:p>
    <w:p w:rsidR="00171107" w:rsidRDefault="00171107">
      <w:pPr>
        <w:spacing w:line="360" w:lineRule="auto"/>
        <w:jc w:val="both"/>
        <w:rPr>
          <w:rFonts w:ascii="Tahoma" w:eastAsia="Tahoma" w:hAnsi="Tahoma" w:cs="Tahoma"/>
          <w:sz w:val="22"/>
          <w:szCs w:val="22"/>
        </w:rPr>
      </w:pPr>
    </w:p>
    <w:p w:rsidR="007049E0" w:rsidRDefault="00171107">
      <w:pPr>
        <w:spacing w:line="360" w:lineRule="auto"/>
        <w:jc w:val="both"/>
        <w:rPr>
          <w:rFonts w:ascii="Tahoma" w:eastAsia="Tahoma" w:hAnsi="Tahoma" w:cs="Tahoma"/>
          <w:sz w:val="22"/>
          <w:szCs w:val="22"/>
        </w:rPr>
      </w:pPr>
      <w:r>
        <w:rPr>
          <w:rFonts w:ascii="Tahoma" w:eastAsia="Tahoma" w:hAnsi="Tahoma" w:cs="Tahoma"/>
          <w:sz w:val="22"/>
          <w:szCs w:val="22"/>
        </w:rPr>
        <w:t xml:space="preserve">Entretanto, parte das áreas adquiridas pela </w:t>
      </w:r>
      <w:proofErr w:type="spellStart"/>
      <w:r>
        <w:rPr>
          <w:rFonts w:ascii="Tahoma" w:eastAsia="Tahoma" w:hAnsi="Tahoma" w:cs="Tahoma"/>
          <w:sz w:val="22"/>
          <w:szCs w:val="22"/>
        </w:rPr>
        <w:t>Veplan</w:t>
      </w:r>
      <w:proofErr w:type="spellEnd"/>
      <w:r>
        <w:rPr>
          <w:rFonts w:ascii="Tahoma" w:eastAsia="Tahoma" w:hAnsi="Tahoma" w:cs="Tahoma"/>
          <w:sz w:val="22"/>
          <w:szCs w:val="22"/>
        </w:rPr>
        <w:t xml:space="preserve"> para </w:t>
      </w:r>
      <w:r w:rsidR="00113170">
        <w:rPr>
          <w:rFonts w:ascii="Tahoma" w:eastAsia="Tahoma" w:hAnsi="Tahoma" w:cs="Tahoma"/>
          <w:sz w:val="22"/>
          <w:szCs w:val="22"/>
        </w:rPr>
        <w:t>construir</w:t>
      </w:r>
      <w:r>
        <w:rPr>
          <w:rFonts w:ascii="Tahoma" w:eastAsia="Tahoma" w:hAnsi="Tahoma" w:cs="Tahoma"/>
          <w:sz w:val="22"/>
          <w:szCs w:val="22"/>
        </w:rPr>
        <w:t xml:space="preserve"> a Comunidade Planejada, </w:t>
      </w:r>
      <w:r w:rsidR="00113170">
        <w:rPr>
          <w:rFonts w:ascii="Tahoma" w:eastAsia="Tahoma" w:hAnsi="Tahoma" w:cs="Tahoma"/>
          <w:sz w:val="22"/>
          <w:szCs w:val="22"/>
        </w:rPr>
        <w:t>cujo principal objetivo era</w:t>
      </w:r>
      <w:r>
        <w:rPr>
          <w:rFonts w:ascii="Tahoma" w:eastAsia="Tahoma" w:hAnsi="Tahoma" w:cs="Tahoma"/>
          <w:sz w:val="22"/>
          <w:szCs w:val="22"/>
        </w:rPr>
        <w:t xml:space="preserve"> lotear o trecho próximo à lagoa de </w:t>
      </w:r>
      <w:proofErr w:type="spellStart"/>
      <w:r>
        <w:rPr>
          <w:rFonts w:ascii="Tahoma" w:eastAsia="Tahoma" w:hAnsi="Tahoma" w:cs="Tahoma"/>
          <w:sz w:val="22"/>
          <w:szCs w:val="22"/>
        </w:rPr>
        <w:t>Itaipú</w:t>
      </w:r>
      <w:proofErr w:type="spellEnd"/>
      <w:r>
        <w:rPr>
          <w:rFonts w:ascii="Tahoma" w:eastAsia="Tahoma" w:hAnsi="Tahoma" w:cs="Tahoma"/>
          <w:sz w:val="22"/>
          <w:szCs w:val="22"/>
        </w:rPr>
        <w:t xml:space="preserve"> e à praia de Camboinhas, já se encontrava ocupada por colônias de pescadores</w:t>
      </w:r>
      <w:r w:rsidR="00113170">
        <w:rPr>
          <w:rFonts w:ascii="Tahoma" w:eastAsia="Tahoma" w:hAnsi="Tahoma" w:cs="Tahoma"/>
          <w:sz w:val="22"/>
          <w:szCs w:val="22"/>
        </w:rPr>
        <w:t xml:space="preserve">. </w:t>
      </w:r>
      <w:r w:rsidR="00113170" w:rsidRPr="00113170">
        <w:rPr>
          <w:rFonts w:ascii="Tahoma" w:eastAsia="Tahoma" w:hAnsi="Tahoma" w:cs="Tahoma"/>
          <w:b/>
          <w:sz w:val="22"/>
          <w:szCs w:val="22"/>
        </w:rPr>
        <w:t>No processo de</w:t>
      </w:r>
      <w:r w:rsidR="005B63BD">
        <w:rPr>
          <w:rFonts w:ascii="Tahoma" w:eastAsia="Tahoma" w:hAnsi="Tahoma" w:cs="Tahoma"/>
          <w:b/>
          <w:sz w:val="22"/>
          <w:szCs w:val="22"/>
        </w:rPr>
        <w:t xml:space="preserve"> execução do projeto, a praia foi cercada e a restinga e as dunas, onde existiam sítios arqueológicos e sambaquis, foram aplainadas para facilitar o parcelamento e a demarcação dos lotes</w:t>
      </w:r>
      <w:r w:rsidR="005B63BD">
        <w:rPr>
          <w:rFonts w:ascii="Tahoma" w:eastAsia="Tahoma" w:hAnsi="Tahoma" w:cs="Tahoma"/>
          <w:sz w:val="22"/>
          <w:szCs w:val="22"/>
        </w:rPr>
        <w:t xml:space="preserve">. </w:t>
      </w:r>
    </w:p>
    <w:p w:rsidR="007049E0" w:rsidRDefault="007049E0">
      <w:pPr>
        <w:spacing w:line="360" w:lineRule="auto"/>
        <w:jc w:val="both"/>
        <w:rPr>
          <w:rFonts w:ascii="Tahoma" w:eastAsia="Tahoma" w:hAnsi="Tahoma" w:cs="Tahoma"/>
          <w:sz w:val="22"/>
          <w:szCs w:val="22"/>
        </w:rPr>
      </w:pPr>
    </w:p>
    <w:p w:rsidR="007049E0" w:rsidRDefault="005B63BD">
      <w:pPr>
        <w:spacing w:line="360" w:lineRule="auto"/>
        <w:jc w:val="both"/>
        <w:rPr>
          <w:rFonts w:ascii="Tahoma" w:eastAsia="Tahoma" w:hAnsi="Tahoma" w:cs="Tahoma"/>
          <w:sz w:val="22"/>
          <w:szCs w:val="22"/>
        </w:rPr>
      </w:pPr>
      <w:r w:rsidRPr="00113170">
        <w:rPr>
          <w:rFonts w:ascii="Tahoma" w:eastAsia="Tahoma" w:hAnsi="Tahoma" w:cs="Tahoma"/>
          <w:b/>
          <w:sz w:val="22"/>
          <w:szCs w:val="22"/>
        </w:rPr>
        <w:t xml:space="preserve">Parte </w:t>
      </w:r>
      <w:r w:rsidR="00113170" w:rsidRPr="00113170">
        <w:rPr>
          <w:rFonts w:ascii="Tahoma" w:eastAsia="Tahoma" w:hAnsi="Tahoma" w:cs="Tahoma"/>
          <w:b/>
          <w:sz w:val="22"/>
          <w:szCs w:val="22"/>
        </w:rPr>
        <w:t>daqueles pescadores foi expulsa</w:t>
      </w:r>
      <w:r w:rsidRPr="00113170">
        <w:rPr>
          <w:rFonts w:ascii="Tahoma" w:eastAsia="Tahoma" w:hAnsi="Tahoma" w:cs="Tahoma"/>
          <w:b/>
          <w:sz w:val="22"/>
          <w:szCs w:val="22"/>
        </w:rPr>
        <w:t xml:space="preserve"> do local, enquanto a parte remanescente teve seu meio de subsistência comprometido pela diminuição do pescado</w:t>
      </w:r>
      <w:r>
        <w:rPr>
          <w:rFonts w:ascii="Tahoma" w:eastAsia="Tahoma" w:hAnsi="Tahoma" w:cs="Tahoma"/>
          <w:sz w:val="22"/>
          <w:szCs w:val="22"/>
        </w:rPr>
        <w:t xml:space="preserve">, ocasionado pelas intervenções urbanas que ocorriam. Quanto aos sítios arqueológicos e sambaquis, parte conseguiu ser protegida - </w:t>
      </w:r>
      <w:r>
        <w:rPr>
          <w:rFonts w:ascii="Tahoma" w:eastAsia="Tahoma" w:hAnsi="Tahoma" w:cs="Tahoma"/>
          <w:sz w:val="22"/>
          <w:szCs w:val="22"/>
        </w:rPr>
        <w:lastRenderedPageBreak/>
        <w:t>como o Sambaqui da Duna Grande e Sambaqui da Duna Pequena, parte não teve estudo e mapeamento concluídos - como é o caso do Sambaqui de Camboinhas; e parte deste material histórico foi possivelmente para sempre perdido, uma vez que o solo do local foi revolvido, edificado ou lançado ao mar devido a abertura do canal de Itaipu.</w:t>
      </w:r>
    </w:p>
    <w:p w:rsidR="007049E0" w:rsidRDefault="007049E0">
      <w:pPr>
        <w:spacing w:line="360" w:lineRule="auto"/>
        <w:jc w:val="both"/>
        <w:rPr>
          <w:rFonts w:ascii="Tahoma" w:eastAsia="Tahoma" w:hAnsi="Tahoma" w:cs="Tahoma"/>
          <w:sz w:val="22"/>
          <w:szCs w:val="22"/>
        </w:rPr>
      </w:pPr>
    </w:p>
    <w:p w:rsidR="007049E0" w:rsidRDefault="005B63BD">
      <w:pPr>
        <w:spacing w:line="360" w:lineRule="auto"/>
        <w:jc w:val="both"/>
        <w:rPr>
          <w:rFonts w:ascii="Tahoma" w:eastAsia="Tahoma" w:hAnsi="Tahoma" w:cs="Tahoma"/>
          <w:sz w:val="22"/>
          <w:szCs w:val="22"/>
        </w:rPr>
      </w:pPr>
      <w:r>
        <w:rPr>
          <w:rFonts w:ascii="Tahoma" w:eastAsia="Tahoma" w:hAnsi="Tahoma" w:cs="Tahoma"/>
          <w:b/>
          <w:sz w:val="22"/>
          <w:szCs w:val="22"/>
        </w:rPr>
        <w:t xml:space="preserve">As praias de Camboinhas e de Itaipu, que formavam uma única paisagem, foram separadas com a escavação de </w:t>
      </w:r>
      <w:r w:rsidR="00113170">
        <w:rPr>
          <w:rFonts w:ascii="Tahoma" w:eastAsia="Tahoma" w:hAnsi="Tahoma" w:cs="Tahoma"/>
          <w:b/>
          <w:sz w:val="22"/>
          <w:szCs w:val="22"/>
        </w:rPr>
        <w:t xml:space="preserve">um </w:t>
      </w:r>
      <w:r>
        <w:rPr>
          <w:rFonts w:ascii="Tahoma" w:eastAsia="Tahoma" w:hAnsi="Tahoma" w:cs="Tahoma"/>
          <w:b/>
          <w:sz w:val="22"/>
          <w:szCs w:val="22"/>
        </w:rPr>
        <w:t>canal permanente</w:t>
      </w:r>
      <w:r w:rsidR="00526573">
        <w:rPr>
          <w:rFonts w:ascii="Tahoma" w:eastAsia="Tahoma" w:hAnsi="Tahoma" w:cs="Tahoma"/>
          <w:b/>
          <w:sz w:val="22"/>
          <w:szCs w:val="22"/>
        </w:rPr>
        <w:t xml:space="preserve"> no ano de 1978</w:t>
      </w:r>
      <w:r>
        <w:rPr>
          <w:rFonts w:ascii="Tahoma" w:eastAsia="Tahoma" w:hAnsi="Tahoma" w:cs="Tahoma"/>
          <w:sz w:val="22"/>
          <w:szCs w:val="22"/>
        </w:rPr>
        <w:t xml:space="preserve">, </w:t>
      </w:r>
      <w:r w:rsidR="00D861B7">
        <w:rPr>
          <w:rFonts w:ascii="Tahoma" w:eastAsia="Tahoma" w:hAnsi="Tahoma" w:cs="Tahoma"/>
          <w:sz w:val="22"/>
          <w:szCs w:val="22"/>
        </w:rPr>
        <w:t>aberto</w:t>
      </w:r>
      <w:r w:rsidR="00113170">
        <w:rPr>
          <w:rFonts w:ascii="Tahoma" w:eastAsia="Tahoma" w:hAnsi="Tahoma" w:cs="Tahoma"/>
          <w:sz w:val="22"/>
          <w:szCs w:val="22"/>
        </w:rPr>
        <w:t xml:space="preserve"> a fim de </w:t>
      </w:r>
      <w:r w:rsidR="00526573">
        <w:rPr>
          <w:rFonts w:ascii="Tahoma" w:eastAsia="Tahoma" w:hAnsi="Tahoma" w:cs="Tahoma"/>
          <w:sz w:val="22"/>
          <w:szCs w:val="22"/>
        </w:rPr>
        <w:t xml:space="preserve">que fosse possível acessaras marinas e ilhas </w:t>
      </w:r>
      <w:r w:rsidR="00D861B7">
        <w:rPr>
          <w:rFonts w:ascii="Tahoma" w:eastAsia="Tahoma" w:hAnsi="Tahoma" w:cs="Tahoma"/>
          <w:sz w:val="22"/>
          <w:szCs w:val="22"/>
        </w:rPr>
        <w:t xml:space="preserve">que seriam </w:t>
      </w:r>
      <w:r w:rsidR="00526573">
        <w:rPr>
          <w:rFonts w:ascii="Tahoma" w:eastAsia="Tahoma" w:hAnsi="Tahoma" w:cs="Tahoma"/>
          <w:sz w:val="22"/>
          <w:szCs w:val="22"/>
        </w:rPr>
        <w:t>construídas</w:t>
      </w:r>
      <w:r>
        <w:rPr>
          <w:rFonts w:ascii="Tahoma" w:eastAsia="Tahoma" w:hAnsi="Tahoma" w:cs="Tahoma"/>
          <w:sz w:val="22"/>
          <w:szCs w:val="22"/>
        </w:rPr>
        <w:t xml:space="preserve"> na restinga</w:t>
      </w:r>
      <w:r w:rsidR="00526573">
        <w:rPr>
          <w:rFonts w:ascii="Tahoma" w:eastAsia="Tahoma" w:hAnsi="Tahoma" w:cs="Tahoma"/>
          <w:sz w:val="22"/>
          <w:szCs w:val="22"/>
        </w:rPr>
        <w:t>, como consta na</w:t>
      </w:r>
      <w:r>
        <w:rPr>
          <w:rFonts w:ascii="Tahoma" w:eastAsia="Tahoma" w:hAnsi="Tahoma" w:cs="Tahoma"/>
          <w:sz w:val="22"/>
          <w:szCs w:val="22"/>
        </w:rPr>
        <w:t xml:space="preserve"> imagem do plano original</w:t>
      </w:r>
      <w:r w:rsidR="00113170">
        <w:rPr>
          <w:rFonts w:ascii="Tahoma" w:eastAsia="Tahoma" w:hAnsi="Tahoma" w:cs="Tahoma"/>
          <w:sz w:val="22"/>
          <w:szCs w:val="22"/>
        </w:rPr>
        <w:t xml:space="preserve"> do projeto da </w:t>
      </w:r>
      <w:proofErr w:type="spellStart"/>
      <w:r w:rsidR="00113170">
        <w:rPr>
          <w:rFonts w:ascii="Tahoma" w:eastAsia="Tahoma" w:hAnsi="Tahoma" w:cs="Tahoma"/>
          <w:sz w:val="22"/>
          <w:szCs w:val="22"/>
        </w:rPr>
        <w:t>Veplan</w:t>
      </w:r>
      <w:proofErr w:type="spellEnd"/>
      <w:r>
        <w:rPr>
          <w:rFonts w:ascii="Tahoma" w:eastAsia="Tahoma" w:hAnsi="Tahoma" w:cs="Tahoma"/>
          <w:sz w:val="22"/>
          <w:szCs w:val="22"/>
        </w:rPr>
        <w:t xml:space="preserve">, </w:t>
      </w:r>
      <w:r w:rsidR="00526573">
        <w:rPr>
          <w:rFonts w:ascii="Tahoma" w:eastAsia="Tahoma" w:hAnsi="Tahoma" w:cs="Tahoma"/>
          <w:sz w:val="22"/>
          <w:szCs w:val="22"/>
        </w:rPr>
        <w:t xml:space="preserve">onde, os </w:t>
      </w:r>
      <w:proofErr w:type="spellStart"/>
      <w:r>
        <w:rPr>
          <w:rFonts w:ascii="Tahoma" w:eastAsia="Tahoma" w:hAnsi="Tahoma" w:cs="Tahoma"/>
          <w:sz w:val="22"/>
          <w:szCs w:val="22"/>
        </w:rPr>
        <w:t>círculosrepresentam</w:t>
      </w:r>
      <w:proofErr w:type="spellEnd"/>
      <w:r>
        <w:rPr>
          <w:rFonts w:ascii="Tahoma" w:eastAsia="Tahoma" w:hAnsi="Tahoma" w:cs="Tahoma"/>
          <w:sz w:val="22"/>
          <w:szCs w:val="22"/>
        </w:rPr>
        <w:t xml:space="preserve"> as ilhas artificiais que seriam executadas com o material retirado do fundo da lagoa</w:t>
      </w:r>
      <w:r w:rsidR="00113170">
        <w:rPr>
          <w:rFonts w:ascii="Tahoma" w:eastAsia="Tahoma" w:hAnsi="Tahoma" w:cs="Tahoma"/>
          <w:sz w:val="22"/>
          <w:szCs w:val="22"/>
        </w:rPr>
        <w:t xml:space="preserve">,em busca </w:t>
      </w:r>
      <w:r>
        <w:rPr>
          <w:rFonts w:ascii="Tahoma" w:eastAsia="Tahoma" w:hAnsi="Tahoma" w:cs="Tahoma"/>
          <w:sz w:val="22"/>
          <w:szCs w:val="22"/>
        </w:rPr>
        <w:t xml:space="preserve">de aumentar o calado e permitir a navegação </w:t>
      </w:r>
      <w:r w:rsidR="00113170">
        <w:rPr>
          <w:rFonts w:ascii="Tahoma" w:eastAsia="Tahoma" w:hAnsi="Tahoma" w:cs="Tahoma"/>
          <w:sz w:val="22"/>
          <w:szCs w:val="22"/>
        </w:rPr>
        <w:t>por pequenas</w:t>
      </w:r>
      <w:r>
        <w:rPr>
          <w:rFonts w:ascii="Tahoma" w:eastAsia="Tahoma" w:hAnsi="Tahoma" w:cs="Tahoma"/>
          <w:sz w:val="22"/>
          <w:szCs w:val="22"/>
        </w:rPr>
        <w:t xml:space="preserve"> embarcações.</w:t>
      </w:r>
    </w:p>
    <w:p w:rsidR="007049E0" w:rsidRDefault="007049E0">
      <w:pPr>
        <w:spacing w:line="360" w:lineRule="auto"/>
        <w:jc w:val="both"/>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5195570" cy="3418953"/>
            <wp:effectExtent l="0" t="0" r="5080" b="0"/>
            <wp:docPr id="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212496" cy="3430091"/>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Desenho do plano urbano de Camboinhas onde se evidencia a presença da</w:t>
      </w:r>
      <w:r w:rsidR="00526573">
        <w:rPr>
          <w:rFonts w:ascii="Tahoma" w:eastAsia="Tahoma" w:hAnsi="Tahoma" w:cs="Tahoma"/>
          <w:sz w:val="18"/>
          <w:szCs w:val="18"/>
        </w:rPr>
        <w:t>s</w:t>
      </w:r>
      <w:r>
        <w:rPr>
          <w:rFonts w:ascii="Tahoma" w:eastAsia="Tahoma" w:hAnsi="Tahoma" w:cs="Tahoma"/>
          <w:sz w:val="18"/>
          <w:szCs w:val="18"/>
        </w:rPr>
        <w:t xml:space="preserve"> marina</w:t>
      </w:r>
      <w:r w:rsidR="00526573">
        <w:rPr>
          <w:rFonts w:ascii="Tahoma" w:eastAsia="Tahoma" w:hAnsi="Tahoma" w:cs="Tahoma"/>
          <w:sz w:val="18"/>
          <w:szCs w:val="18"/>
        </w:rPr>
        <w:t>s</w:t>
      </w:r>
      <w:r w:rsidR="00847FA1">
        <w:rPr>
          <w:rFonts w:ascii="Tahoma" w:eastAsia="Tahoma" w:hAnsi="Tahoma" w:cs="Tahoma"/>
          <w:sz w:val="18"/>
          <w:szCs w:val="18"/>
        </w:rPr>
        <w:t xml:space="preserve"> e dos canais navegáveis</w:t>
      </w:r>
      <w:r>
        <w:rPr>
          <w:rFonts w:ascii="Tahoma" w:eastAsia="Tahoma" w:hAnsi="Tahoma" w:cs="Tahoma"/>
          <w:sz w:val="18"/>
          <w:szCs w:val="18"/>
        </w:rPr>
        <w:t>.</w:t>
      </w:r>
    </w:p>
    <w:p w:rsidR="002C4B11" w:rsidRDefault="005B63BD" w:rsidP="002C4B11">
      <w:pPr>
        <w:jc w:val="center"/>
        <w:rPr>
          <w:rFonts w:ascii="Tahoma" w:eastAsia="Tahoma" w:hAnsi="Tahoma" w:cs="Tahoma"/>
          <w:sz w:val="18"/>
          <w:szCs w:val="18"/>
        </w:rPr>
      </w:pPr>
      <w:r>
        <w:rPr>
          <w:rFonts w:ascii="Tahoma" w:eastAsia="Tahoma" w:hAnsi="Tahoma" w:cs="Tahoma"/>
          <w:sz w:val="18"/>
          <w:szCs w:val="18"/>
        </w:rPr>
        <w:t xml:space="preserve">Fonte: Comissão de análise do Plano Estrutural de </w:t>
      </w:r>
      <w:proofErr w:type="spellStart"/>
      <w:r>
        <w:rPr>
          <w:rFonts w:ascii="Tahoma" w:eastAsia="Tahoma" w:hAnsi="Tahoma" w:cs="Tahoma"/>
          <w:sz w:val="18"/>
          <w:szCs w:val="18"/>
        </w:rPr>
        <w:t>Itaipú</w:t>
      </w:r>
      <w:proofErr w:type="spellEnd"/>
    </w:p>
    <w:p w:rsidR="002C4B11" w:rsidRDefault="002C4B11" w:rsidP="002C4B11">
      <w:pPr>
        <w:jc w:val="center"/>
        <w:rPr>
          <w:rFonts w:ascii="Tahoma" w:eastAsia="Tahoma" w:hAnsi="Tahoma" w:cs="Tahoma"/>
          <w:sz w:val="22"/>
          <w:szCs w:val="22"/>
        </w:rPr>
      </w:pPr>
    </w:p>
    <w:p w:rsidR="002C4B11" w:rsidRDefault="002C4B11">
      <w:pPr>
        <w:spacing w:line="360" w:lineRule="auto"/>
        <w:jc w:val="both"/>
        <w:rPr>
          <w:rFonts w:ascii="Tahoma" w:eastAsia="Tahoma" w:hAnsi="Tahoma" w:cs="Tahoma"/>
          <w:sz w:val="22"/>
          <w:szCs w:val="22"/>
        </w:rPr>
      </w:pPr>
    </w:p>
    <w:p w:rsidR="00F32CD0" w:rsidRDefault="005B63BD">
      <w:pPr>
        <w:spacing w:line="360" w:lineRule="auto"/>
        <w:jc w:val="both"/>
        <w:rPr>
          <w:rFonts w:ascii="Tahoma" w:eastAsia="Tahoma" w:hAnsi="Tahoma" w:cs="Tahoma"/>
          <w:sz w:val="22"/>
          <w:szCs w:val="22"/>
        </w:rPr>
      </w:pPr>
      <w:r>
        <w:rPr>
          <w:rFonts w:ascii="Tahoma" w:eastAsia="Tahoma" w:hAnsi="Tahoma" w:cs="Tahoma"/>
          <w:sz w:val="22"/>
          <w:szCs w:val="22"/>
        </w:rPr>
        <w:t xml:space="preserve">O processo de </w:t>
      </w:r>
      <w:r>
        <w:rPr>
          <w:rFonts w:ascii="Tahoma" w:eastAsia="Tahoma" w:hAnsi="Tahoma" w:cs="Tahoma"/>
          <w:b/>
          <w:sz w:val="22"/>
          <w:szCs w:val="22"/>
        </w:rPr>
        <w:t>ocupação urbana planejada</w:t>
      </w:r>
      <w:r>
        <w:rPr>
          <w:rFonts w:ascii="Tahoma" w:eastAsia="Tahoma" w:hAnsi="Tahoma" w:cs="Tahoma"/>
          <w:sz w:val="22"/>
          <w:szCs w:val="22"/>
        </w:rPr>
        <w:t xml:space="preserve"> não é característico apenas de Camboinhas, mas também aparece em </w:t>
      </w:r>
      <w:r w:rsidR="00847FA1">
        <w:rPr>
          <w:rFonts w:ascii="Tahoma" w:eastAsia="Tahoma" w:hAnsi="Tahoma" w:cs="Tahoma"/>
          <w:sz w:val="22"/>
          <w:szCs w:val="22"/>
        </w:rPr>
        <w:t>outras</w:t>
      </w:r>
      <w:r>
        <w:rPr>
          <w:rFonts w:ascii="Tahoma" w:eastAsia="Tahoma" w:hAnsi="Tahoma" w:cs="Tahoma"/>
          <w:sz w:val="22"/>
          <w:szCs w:val="22"/>
        </w:rPr>
        <w:t xml:space="preserve"> partes da Região Oceânica, como as frações apresentadas do </w:t>
      </w:r>
      <w:r>
        <w:rPr>
          <w:rFonts w:ascii="Tahoma" w:eastAsia="Tahoma" w:hAnsi="Tahoma" w:cs="Tahoma"/>
          <w:b/>
          <w:sz w:val="22"/>
          <w:szCs w:val="22"/>
        </w:rPr>
        <w:t>bairro de Piratininga</w:t>
      </w:r>
      <w:r>
        <w:rPr>
          <w:rFonts w:ascii="Tahoma" w:eastAsia="Tahoma" w:hAnsi="Tahoma" w:cs="Tahoma"/>
          <w:sz w:val="22"/>
          <w:szCs w:val="22"/>
        </w:rPr>
        <w:t xml:space="preserve">, bairro que </w:t>
      </w:r>
      <w:r>
        <w:rPr>
          <w:rFonts w:ascii="Tahoma" w:eastAsia="Tahoma" w:hAnsi="Tahoma" w:cs="Tahoma"/>
          <w:b/>
          <w:sz w:val="22"/>
          <w:szCs w:val="22"/>
        </w:rPr>
        <w:t xml:space="preserve">cresceu ocupando de modo irregular faixas de terra que pertenciam à </w:t>
      </w:r>
      <w:r>
        <w:rPr>
          <w:rFonts w:ascii="Tahoma" w:eastAsia="Tahoma" w:hAnsi="Tahoma" w:cs="Tahoma"/>
          <w:b/>
          <w:sz w:val="22"/>
          <w:szCs w:val="22"/>
        </w:rPr>
        <w:lastRenderedPageBreak/>
        <w:t>lagoa</w:t>
      </w:r>
      <w:r>
        <w:rPr>
          <w:rFonts w:ascii="Tahoma" w:eastAsia="Tahoma" w:hAnsi="Tahoma" w:cs="Tahoma"/>
          <w:sz w:val="22"/>
          <w:szCs w:val="22"/>
        </w:rPr>
        <w:t>, o que foi possibilitado devido a abertura dos canais do Camboatá e canal de Itaipu e aos aterros clandestinos, ocasionando a redução de sua profundidade e espelho d'água.</w:t>
      </w:r>
    </w:p>
    <w:p w:rsidR="007049E0" w:rsidRDefault="007049E0">
      <w:pPr>
        <w:spacing w:line="360" w:lineRule="auto"/>
        <w:jc w:val="both"/>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473515" cy="736600"/>
            <wp:effectExtent l="0" t="0" r="0" b="0"/>
            <wp:docPr id="3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6473515" cy="736600"/>
                    </a:xfrm>
                    <a:prstGeom prst="rect">
                      <a:avLst/>
                    </a:prstGeom>
                    <a:ln/>
                  </pic:spPr>
                </pic:pic>
              </a:graphicData>
            </a:graphic>
          </wp:inline>
        </w:drawing>
      </w: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473515" cy="8255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473515" cy="825500"/>
                    </a:xfrm>
                    <a:prstGeom prst="rect">
                      <a:avLst/>
                    </a:prstGeom>
                    <a:ln/>
                  </pic:spPr>
                </pic:pic>
              </a:graphicData>
            </a:graphic>
          </wp:inline>
        </w:drawing>
      </w: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473515" cy="812800"/>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6473515" cy="812800"/>
                    </a:xfrm>
                    <a:prstGeom prst="rect">
                      <a:avLst/>
                    </a:prstGeom>
                    <a:ln/>
                  </pic:spPr>
                </pic:pic>
              </a:graphicData>
            </a:graphic>
          </wp:inline>
        </w:drawing>
      </w:r>
    </w:p>
    <w:p w:rsidR="007049E0" w:rsidRDefault="005B63BD">
      <w:pPr>
        <w:jc w:val="center"/>
        <w:rPr>
          <w:rFonts w:ascii="Tahoma" w:eastAsia="Tahoma" w:hAnsi="Tahoma" w:cs="Tahoma"/>
          <w:sz w:val="22"/>
          <w:szCs w:val="22"/>
        </w:rPr>
      </w:pPr>
      <w:r>
        <w:rPr>
          <w:rFonts w:ascii="Tahoma" w:eastAsia="Tahoma" w:hAnsi="Tahoma" w:cs="Tahoma"/>
          <w:sz w:val="18"/>
          <w:szCs w:val="18"/>
        </w:rPr>
        <w:t>Configuração atual do sistema lagunar Piratininga-Itaipu. Fonte: Mendes, 2012</w:t>
      </w:r>
      <w:r w:rsidR="004D69E7">
        <w:rPr>
          <w:rStyle w:val="Refdenotaderodap"/>
          <w:rFonts w:ascii="Tahoma" w:eastAsia="Tahoma" w:hAnsi="Tahoma" w:cs="Tahoma"/>
          <w:sz w:val="18"/>
          <w:szCs w:val="18"/>
        </w:rPr>
        <w:footnoteReference w:id="3"/>
      </w:r>
    </w:p>
    <w:p w:rsidR="007049E0" w:rsidRDefault="007049E0">
      <w:pPr>
        <w:spacing w:line="360" w:lineRule="auto"/>
        <w:jc w:val="both"/>
        <w:rPr>
          <w:rFonts w:ascii="Tahoma" w:eastAsia="Tahoma" w:hAnsi="Tahoma" w:cs="Tahoma"/>
          <w:sz w:val="22"/>
          <w:szCs w:val="22"/>
        </w:rPr>
      </w:pPr>
    </w:p>
    <w:p w:rsidR="00F32CD0" w:rsidRDefault="005B63BD">
      <w:pPr>
        <w:spacing w:line="360" w:lineRule="auto"/>
        <w:jc w:val="both"/>
        <w:rPr>
          <w:rFonts w:ascii="Tahoma" w:eastAsia="Tahoma" w:hAnsi="Tahoma" w:cs="Tahoma"/>
          <w:sz w:val="22"/>
          <w:szCs w:val="22"/>
        </w:rPr>
      </w:pPr>
      <w:r>
        <w:rPr>
          <w:rFonts w:ascii="Tahoma" w:eastAsia="Tahoma" w:hAnsi="Tahoma" w:cs="Tahoma"/>
          <w:sz w:val="22"/>
          <w:szCs w:val="22"/>
        </w:rPr>
        <w:t xml:space="preserve">Os estudos que se propuseram a refazer a linha cronológica dos impactos socioambientais ocorridos desde 1940 até os dias atuais, na região oceânica, demonstram que os planos urbanos para ocupação dos bairros de Piratininga, Camboinhas e </w:t>
      </w:r>
      <w:proofErr w:type="spellStart"/>
      <w:r>
        <w:rPr>
          <w:rFonts w:ascii="Tahoma" w:eastAsia="Tahoma" w:hAnsi="Tahoma" w:cs="Tahoma"/>
          <w:sz w:val="22"/>
          <w:szCs w:val="22"/>
        </w:rPr>
        <w:t>Itaipú</w:t>
      </w:r>
      <w:proofErr w:type="spellEnd"/>
      <w:r w:rsidR="00F32CD0">
        <w:rPr>
          <w:rFonts w:ascii="Tahoma" w:eastAsia="Tahoma" w:hAnsi="Tahoma" w:cs="Tahoma"/>
          <w:sz w:val="22"/>
          <w:szCs w:val="22"/>
        </w:rPr>
        <w:t>,</w:t>
      </w:r>
      <w:r>
        <w:rPr>
          <w:rFonts w:ascii="Tahoma" w:eastAsia="Tahoma" w:hAnsi="Tahoma" w:cs="Tahoma"/>
          <w:sz w:val="22"/>
          <w:szCs w:val="22"/>
        </w:rPr>
        <w:t xml:space="preserve"> outrora idealizados, permanecem ameaçando </w:t>
      </w:r>
      <w:r w:rsidR="00B30345">
        <w:rPr>
          <w:rFonts w:ascii="Tahoma" w:eastAsia="Tahoma" w:hAnsi="Tahoma" w:cs="Tahoma"/>
          <w:sz w:val="22"/>
          <w:szCs w:val="22"/>
        </w:rPr>
        <w:t>a ocorrência de mais irregularidades</w:t>
      </w:r>
      <w:r>
        <w:rPr>
          <w:rFonts w:ascii="Tahoma" w:eastAsia="Tahoma" w:hAnsi="Tahoma" w:cs="Tahoma"/>
          <w:sz w:val="22"/>
          <w:szCs w:val="22"/>
        </w:rPr>
        <w:t xml:space="preserve"> como é possível </w:t>
      </w:r>
      <w:r w:rsidR="00B30345">
        <w:rPr>
          <w:rFonts w:ascii="Tahoma" w:eastAsia="Tahoma" w:hAnsi="Tahoma" w:cs="Tahoma"/>
          <w:sz w:val="22"/>
          <w:szCs w:val="22"/>
        </w:rPr>
        <w:t>verificar</w:t>
      </w:r>
      <w:r>
        <w:rPr>
          <w:rFonts w:ascii="Tahoma" w:eastAsia="Tahoma" w:hAnsi="Tahoma" w:cs="Tahoma"/>
          <w:sz w:val="22"/>
          <w:szCs w:val="22"/>
        </w:rPr>
        <w:t xml:space="preserve"> ao confrontarmos as imagens abaixo. Ainda que parte dos loteamentos que ocupariam áreas úmidas de ambas lagoas não tenham sido executados em sua completude, alguns lotes permanecem registrados na Secretaria da Fazenda.</w:t>
      </w:r>
    </w:p>
    <w:p w:rsidR="007049E0" w:rsidRDefault="007049E0">
      <w:pPr>
        <w:spacing w:line="360" w:lineRule="auto"/>
        <w:jc w:val="both"/>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5851339" cy="1932194"/>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r="33708"/>
                    <a:stretch>
                      <a:fillRect/>
                    </a:stretch>
                  </pic:blipFill>
                  <pic:spPr>
                    <a:xfrm>
                      <a:off x="0" y="0"/>
                      <a:ext cx="5883945" cy="1942961"/>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Esquema de imagens da beira da lagoa de Piratininga: Plano Estrutural de 1976</w:t>
      </w:r>
      <w:r w:rsidR="00B30345">
        <w:rPr>
          <w:rFonts w:ascii="Tahoma" w:eastAsia="Tahoma" w:hAnsi="Tahoma" w:cs="Tahoma"/>
          <w:sz w:val="18"/>
          <w:szCs w:val="18"/>
        </w:rPr>
        <w:t xml:space="preserve"> (esquerda)</w:t>
      </w:r>
      <w:r>
        <w:rPr>
          <w:rFonts w:ascii="Tahoma" w:eastAsia="Tahoma" w:hAnsi="Tahoma" w:cs="Tahoma"/>
          <w:sz w:val="18"/>
          <w:szCs w:val="18"/>
        </w:rPr>
        <w:t xml:space="preserve">, imagem </w:t>
      </w:r>
      <w:r w:rsidR="00B30345">
        <w:rPr>
          <w:rFonts w:ascii="Tahoma" w:eastAsia="Tahoma" w:hAnsi="Tahoma" w:cs="Tahoma"/>
          <w:sz w:val="18"/>
          <w:szCs w:val="18"/>
        </w:rPr>
        <w:t>d</w:t>
      </w:r>
      <w:r>
        <w:rPr>
          <w:rFonts w:ascii="Tahoma" w:eastAsia="Tahoma" w:hAnsi="Tahoma" w:cs="Tahoma"/>
          <w:sz w:val="18"/>
          <w:szCs w:val="18"/>
        </w:rPr>
        <w:t>o Google Earth</w:t>
      </w:r>
      <w:r w:rsidR="00B30345">
        <w:rPr>
          <w:rFonts w:ascii="Tahoma" w:eastAsia="Tahoma" w:hAnsi="Tahoma" w:cs="Tahoma"/>
          <w:sz w:val="18"/>
          <w:szCs w:val="18"/>
        </w:rPr>
        <w:t xml:space="preserve"> (direita)</w:t>
      </w:r>
    </w:p>
    <w:p w:rsidR="007049E0" w:rsidRDefault="005B63BD">
      <w:pPr>
        <w:jc w:val="center"/>
        <w:rPr>
          <w:rFonts w:ascii="Tahoma" w:eastAsia="Tahoma" w:hAnsi="Tahoma" w:cs="Tahoma"/>
          <w:sz w:val="18"/>
          <w:szCs w:val="18"/>
        </w:rPr>
      </w:pPr>
      <w:r>
        <w:rPr>
          <w:rFonts w:ascii="Tahoma" w:eastAsia="Tahoma" w:hAnsi="Tahoma" w:cs="Tahoma"/>
          <w:sz w:val="18"/>
          <w:szCs w:val="18"/>
        </w:rPr>
        <w:t>Fonte: Laboratório de Pesquisa LDUB – UFF</w:t>
      </w:r>
    </w:p>
    <w:p w:rsidR="007049E0" w:rsidRDefault="007049E0">
      <w:pPr>
        <w:spacing w:line="360" w:lineRule="auto"/>
        <w:jc w:val="both"/>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359868" cy="4274289"/>
            <wp:effectExtent l="0" t="0" r="3175" b="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l="66954"/>
                    <a:stretch>
                      <a:fillRect/>
                    </a:stretch>
                  </pic:blipFill>
                  <pic:spPr>
                    <a:xfrm>
                      <a:off x="0" y="0"/>
                      <a:ext cx="6414810" cy="4311214"/>
                    </a:xfrm>
                    <a:prstGeom prst="rect">
                      <a:avLst/>
                    </a:prstGeom>
                    <a:ln/>
                  </pic:spPr>
                </pic:pic>
              </a:graphicData>
            </a:graphic>
          </wp:inline>
        </w:drawing>
      </w:r>
    </w:p>
    <w:p w:rsidR="004F422B" w:rsidRDefault="005B63BD">
      <w:pPr>
        <w:jc w:val="center"/>
        <w:rPr>
          <w:rFonts w:ascii="Tahoma" w:eastAsia="Tahoma" w:hAnsi="Tahoma" w:cs="Tahoma"/>
          <w:sz w:val="18"/>
          <w:szCs w:val="18"/>
        </w:rPr>
      </w:pPr>
      <w:r>
        <w:rPr>
          <w:rFonts w:ascii="Tahoma" w:eastAsia="Tahoma" w:hAnsi="Tahoma" w:cs="Tahoma"/>
          <w:sz w:val="18"/>
          <w:szCs w:val="18"/>
        </w:rPr>
        <w:t>Esquema de imagens da</w:t>
      </w:r>
      <w:r w:rsidR="004F422B">
        <w:rPr>
          <w:rFonts w:ascii="Tahoma" w:eastAsia="Tahoma" w:hAnsi="Tahoma" w:cs="Tahoma"/>
          <w:sz w:val="18"/>
          <w:szCs w:val="18"/>
        </w:rPr>
        <w:t xml:space="preserve"> beira da lagoa de Piratininga com s</w:t>
      </w:r>
      <w:r>
        <w:rPr>
          <w:rFonts w:ascii="Tahoma" w:eastAsia="Tahoma" w:hAnsi="Tahoma" w:cs="Tahoma"/>
          <w:sz w:val="18"/>
          <w:szCs w:val="18"/>
        </w:rPr>
        <w:t xml:space="preserve">uperposição das imagens anteriores. </w:t>
      </w:r>
    </w:p>
    <w:p w:rsidR="007049E0" w:rsidRDefault="005B63BD">
      <w:pPr>
        <w:jc w:val="center"/>
        <w:rPr>
          <w:rFonts w:ascii="Tahoma" w:eastAsia="Tahoma" w:hAnsi="Tahoma" w:cs="Tahoma"/>
          <w:sz w:val="18"/>
          <w:szCs w:val="18"/>
        </w:rPr>
      </w:pPr>
      <w:r>
        <w:rPr>
          <w:rFonts w:ascii="Tahoma" w:eastAsia="Tahoma" w:hAnsi="Tahoma" w:cs="Tahoma"/>
          <w:sz w:val="18"/>
          <w:szCs w:val="18"/>
        </w:rPr>
        <w:t>Fonte: Laboratório de Pesquisa LDUB – UFF</w:t>
      </w:r>
    </w:p>
    <w:p w:rsidR="007049E0" w:rsidRDefault="007049E0">
      <w:pPr>
        <w:spacing w:line="360" w:lineRule="auto"/>
        <w:jc w:val="center"/>
        <w:rPr>
          <w:rFonts w:ascii="Tahoma" w:eastAsia="Tahoma" w:hAnsi="Tahoma" w:cs="Tahoma"/>
          <w:sz w:val="22"/>
          <w:szCs w:val="22"/>
        </w:rPr>
      </w:pPr>
    </w:p>
    <w:p w:rsidR="007049E0" w:rsidRDefault="00FE3D81">
      <w:pPr>
        <w:jc w:val="center"/>
        <w:rPr>
          <w:rFonts w:ascii="Tahoma" w:eastAsia="Tahoma" w:hAnsi="Tahoma" w:cs="Tahoma"/>
          <w:sz w:val="22"/>
          <w:szCs w:val="22"/>
        </w:rPr>
      </w:pPr>
      <w:r>
        <w:rPr>
          <w:rFonts w:ascii="Tahoma" w:eastAsia="Tahoma" w:hAnsi="Tahoma" w:cs="Tahoma"/>
          <w:noProof/>
          <w:sz w:val="22"/>
          <w:szCs w:val="22"/>
          <w:lang w:eastAsia="pt-BR"/>
        </w:rPr>
        <w:lastRenderedPageBrea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em curva 7" o:spid="_x0000_s1026" type="#_x0000_t38" style="position:absolute;left:0;text-align:left;margin-left:437.85pt;margin-top:245.35pt;width:20.05pt;height:24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" adj="-57111" strokecolor="#4579b8 [3044]" strokeweight="3pt">
            <v:stroke endarrow="block"/>
          </v:shape>
        </w:pict>
      </w:r>
      <w:r w:rsidR="005B63BD">
        <w:rPr>
          <w:rFonts w:ascii="Tahoma" w:eastAsia="Tahoma" w:hAnsi="Tahoma" w:cs="Tahoma"/>
          <w:noProof/>
          <w:sz w:val="22"/>
          <w:szCs w:val="22"/>
          <w:lang w:eastAsia="pt-BR"/>
        </w:rPr>
        <w:drawing>
          <wp:inline distT="114300" distB="114300" distL="114300" distR="114300">
            <wp:extent cx="3800678" cy="5893557"/>
            <wp:effectExtent l="1270" t="0" r="0" b="0"/>
            <wp:docPr id="3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5"/>
                    <a:srcRect l="48703" t="7763" r="15588" b="21407"/>
                    <a:stretch>
                      <a:fillRect/>
                    </a:stretch>
                  </pic:blipFill>
                  <pic:spPr>
                    <a:xfrm rot="16200000">
                      <a:off x="0" y="0"/>
                      <a:ext cx="3811736" cy="5910704"/>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Lotes cadastrados na Secretaria da Fazenda mostrando a mesma localidade apontada nas imagens anteriores.</w:t>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Fonte: </w:t>
      </w:r>
      <w:proofErr w:type="spellStart"/>
      <w:r>
        <w:rPr>
          <w:rFonts w:ascii="Tahoma" w:eastAsia="Tahoma" w:hAnsi="Tahoma" w:cs="Tahoma"/>
          <w:sz w:val="18"/>
          <w:szCs w:val="18"/>
        </w:rPr>
        <w:t>SIGeo</w:t>
      </w:r>
      <w:proofErr w:type="spellEnd"/>
      <w:r>
        <w:rPr>
          <w:rFonts w:ascii="Tahoma" w:eastAsia="Tahoma" w:hAnsi="Tahoma" w:cs="Tahoma"/>
          <w:sz w:val="18"/>
          <w:szCs w:val="18"/>
        </w:rPr>
        <w:t xml:space="preserve"> Niterói. Imagem gerada em 25/01/2024</w:t>
      </w:r>
    </w:p>
    <w:p w:rsidR="007049E0" w:rsidRDefault="007049E0">
      <w:pPr>
        <w:spacing w:line="360" w:lineRule="auto"/>
        <w:jc w:val="both"/>
        <w:rPr>
          <w:rFonts w:ascii="Tahoma" w:eastAsia="Tahoma" w:hAnsi="Tahoma" w:cs="Tahoma"/>
          <w:sz w:val="22"/>
          <w:szCs w:val="22"/>
        </w:rPr>
      </w:pPr>
    </w:p>
    <w:p w:rsidR="007049E0" w:rsidRDefault="00FE3D81">
      <w:pPr>
        <w:jc w:val="center"/>
        <w:rPr>
          <w:rFonts w:ascii="Tahoma" w:eastAsia="Tahoma" w:hAnsi="Tahoma" w:cs="Tahoma"/>
          <w:sz w:val="22"/>
          <w:szCs w:val="22"/>
        </w:rPr>
      </w:pPr>
      <w:r>
        <w:rPr>
          <w:rFonts w:ascii="Tahoma" w:eastAsia="Tahoma" w:hAnsi="Tahoma" w:cs="Tahoma"/>
          <w:noProof/>
          <w:sz w:val="22"/>
          <w:szCs w:val="22"/>
          <w:lang w:eastAsia="pt-BR"/>
        </w:rPr>
        <w:lastRenderedPageBreak/>
        <w:pict>
          <v:oval id="Elipse 5" o:spid="_x0000_s1030" style="position:absolute;left:0;text-align:left;margin-left:385.1pt;margin-top:127.15pt;width:74.5pt;height:7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" filled="f" strokecolor="#243f60 [1604]" strokeweight="3.5pt"/>
        </w:pict>
      </w:r>
      <w:r w:rsidR="005B63BD">
        <w:rPr>
          <w:rFonts w:ascii="Tahoma" w:eastAsia="Tahoma" w:hAnsi="Tahoma" w:cs="Tahoma"/>
          <w:noProof/>
          <w:sz w:val="22"/>
          <w:szCs w:val="22"/>
          <w:lang w:eastAsia="pt-BR"/>
        </w:rPr>
        <w:drawing>
          <wp:inline distT="114300" distB="114300" distL="114300" distR="114300">
            <wp:extent cx="5709684" cy="3212832"/>
            <wp:effectExtent l="0" t="0" r="5715" b="6985"/>
            <wp:docPr id="2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rotWithShape="1">
                    <a:blip r:embed="rId16"/>
                    <a:srcRect l="4945" t="7392" r="6719" b="22216"/>
                    <a:stretch/>
                  </pic:blipFill>
                  <pic:spPr bwMode="auto">
                    <a:xfrm>
                      <a:off x="0" y="0"/>
                      <a:ext cx="5722927" cy="32202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Lotes cadastrados na Secretaria da Fazenda. Imagem da Lagoa de Piratininga.</w:t>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Fonte: </w:t>
      </w:r>
      <w:proofErr w:type="spellStart"/>
      <w:r>
        <w:rPr>
          <w:rFonts w:ascii="Tahoma" w:eastAsia="Tahoma" w:hAnsi="Tahoma" w:cs="Tahoma"/>
          <w:sz w:val="18"/>
          <w:szCs w:val="18"/>
        </w:rPr>
        <w:t>SIGeo</w:t>
      </w:r>
      <w:proofErr w:type="spellEnd"/>
      <w:r>
        <w:rPr>
          <w:rFonts w:ascii="Tahoma" w:eastAsia="Tahoma" w:hAnsi="Tahoma" w:cs="Tahoma"/>
          <w:sz w:val="18"/>
          <w:szCs w:val="18"/>
        </w:rPr>
        <w:t xml:space="preserve"> Niterói. Imagem gerada em 25/01/2024</w:t>
      </w:r>
      <w:r w:rsidR="00FE3D81">
        <w:rPr>
          <w:rFonts w:ascii="Tahoma" w:eastAsia="Tahoma" w:hAnsi="Tahoma" w:cs="Tahoma"/>
          <w:noProof/>
          <w:sz w:val="18"/>
          <w:szCs w:val="18"/>
          <w:lang w:eastAsia="pt-B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4" o:spid="_x0000_s1029" type="#_x0000_t13" style="position:absolute;left:0;text-align:left;margin-left:64.2pt;margin-top:261.2pt;width:100.45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" adj="17730" fillcolor="#4f81bd [3204]" strokecolor="#243f60 [1604]" strokeweight="2pt"/>
        </w:pict>
      </w:r>
      <w:r w:rsidR="00FE3D81">
        <w:rPr>
          <w:rFonts w:ascii="Tahoma" w:eastAsia="Tahoma" w:hAnsi="Tahoma" w:cs="Tahoma"/>
          <w:noProof/>
          <w:sz w:val="18"/>
          <w:szCs w:val="18"/>
          <w:lang w:eastAsia="pt-BR"/>
        </w:rPr>
        <w:pict>
          <v:shape id="Seta para a direita 3" o:spid="_x0000_s1028" type="#_x0000_t13" style="position:absolute;left:0;text-align:left;margin-left:10.85pt;margin-top:120.6pt;width:100.4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" adj="17730" fillcolor="#4f81bd [3204]" strokecolor="#243f60 [1604]" strokeweight="2pt"/>
        </w:pict>
      </w:r>
      <w:r>
        <w:rPr>
          <w:rFonts w:ascii="Tahoma" w:eastAsia="Tahoma" w:hAnsi="Tahoma" w:cs="Tahoma"/>
          <w:noProof/>
          <w:sz w:val="18"/>
          <w:szCs w:val="18"/>
          <w:lang w:eastAsia="pt-BR"/>
        </w:rPr>
        <w:drawing>
          <wp:inline distT="114300" distB="114300" distL="114300" distR="114300">
            <wp:extent cx="4446433" cy="3938269"/>
            <wp:effectExtent l="0" t="0" r="0" b="0"/>
            <wp:docPr id="1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7"/>
                    <a:srcRect l="17205" t="7967" r="26223" b="20979"/>
                    <a:stretch>
                      <a:fillRect/>
                    </a:stretch>
                  </pic:blipFill>
                  <pic:spPr>
                    <a:xfrm>
                      <a:off x="0" y="0"/>
                      <a:ext cx="4446433" cy="3938269"/>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Lotes cadastrados na Secretaria da Fazenda. Imagem mostrando a Lagoa de </w:t>
      </w:r>
      <w:proofErr w:type="spellStart"/>
      <w:r>
        <w:rPr>
          <w:rFonts w:ascii="Tahoma" w:eastAsia="Tahoma" w:hAnsi="Tahoma" w:cs="Tahoma"/>
          <w:sz w:val="18"/>
          <w:szCs w:val="18"/>
        </w:rPr>
        <w:t>Itaipú</w:t>
      </w:r>
      <w:proofErr w:type="spellEnd"/>
      <w:r>
        <w:rPr>
          <w:rFonts w:ascii="Tahoma" w:eastAsia="Tahoma" w:hAnsi="Tahoma" w:cs="Tahoma"/>
          <w:sz w:val="18"/>
          <w:szCs w:val="18"/>
        </w:rPr>
        <w:t xml:space="preserve"> com </w:t>
      </w:r>
      <w:r>
        <w:rPr>
          <w:rFonts w:ascii="Tahoma" w:eastAsia="Tahoma" w:hAnsi="Tahoma" w:cs="Tahoma"/>
          <w:b/>
          <w:sz w:val="18"/>
          <w:szCs w:val="18"/>
        </w:rPr>
        <w:t xml:space="preserve">lotes conformados segundo o plano da </w:t>
      </w:r>
      <w:proofErr w:type="spellStart"/>
      <w:r>
        <w:rPr>
          <w:rFonts w:ascii="Tahoma" w:eastAsia="Tahoma" w:hAnsi="Tahoma" w:cs="Tahoma"/>
          <w:b/>
          <w:sz w:val="18"/>
          <w:szCs w:val="18"/>
        </w:rPr>
        <w:t>Veplan</w:t>
      </w:r>
      <w:proofErr w:type="spellEnd"/>
      <w:r>
        <w:rPr>
          <w:rFonts w:ascii="Tahoma" w:eastAsia="Tahoma" w:hAnsi="Tahoma" w:cs="Tahoma"/>
          <w:b/>
          <w:sz w:val="18"/>
          <w:szCs w:val="18"/>
        </w:rPr>
        <w:t xml:space="preserve"> para executar as ilhas artificiais circulares</w:t>
      </w:r>
      <w:r>
        <w:rPr>
          <w:rFonts w:ascii="Tahoma" w:eastAsia="Tahoma" w:hAnsi="Tahoma" w:cs="Tahoma"/>
          <w:sz w:val="18"/>
          <w:szCs w:val="18"/>
        </w:rPr>
        <w:t xml:space="preserve"> entrecortadas por canais navegáveis (lotes à esquerda na </w:t>
      </w:r>
      <w:r>
        <w:rPr>
          <w:rFonts w:ascii="Tahoma" w:eastAsia="Tahoma" w:hAnsi="Tahoma" w:cs="Tahoma"/>
          <w:sz w:val="18"/>
          <w:szCs w:val="18"/>
        </w:rPr>
        <w:lastRenderedPageBreak/>
        <w:t>imagem) e</w:t>
      </w:r>
      <w:r>
        <w:rPr>
          <w:rFonts w:ascii="Tahoma" w:eastAsia="Tahoma" w:hAnsi="Tahoma" w:cs="Tahoma"/>
          <w:b/>
          <w:sz w:val="18"/>
          <w:szCs w:val="18"/>
        </w:rPr>
        <w:t xml:space="preserve"> lotes ocupando a área do Sambaqui da Duna Grande</w:t>
      </w:r>
      <w:r>
        <w:rPr>
          <w:rFonts w:ascii="Tahoma" w:eastAsia="Tahoma" w:hAnsi="Tahoma" w:cs="Tahoma"/>
          <w:sz w:val="18"/>
          <w:szCs w:val="18"/>
        </w:rPr>
        <w:t xml:space="preserve">, em </w:t>
      </w:r>
      <w:proofErr w:type="spellStart"/>
      <w:r>
        <w:rPr>
          <w:rFonts w:ascii="Tahoma" w:eastAsia="Tahoma" w:hAnsi="Tahoma" w:cs="Tahoma"/>
          <w:sz w:val="18"/>
          <w:szCs w:val="18"/>
        </w:rPr>
        <w:t>Itaipú</w:t>
      </w:r>
      <w:proofErr w:type="spellEnd"/>
      <w:r>
        <w:rPr>
          <w:rFonts w:ascii="Tahoma" w:eastAsia="Tahoma" w:hAnsi="Tahoma" w:cs="Tahoma"/>
          <w:sz w:val="18"/>
          <w:szCs w:val="18"/>
        </w:rPr>
        <w:t xml:space="preserve"> (parte inferior da imagem).</w:t>
      </w:r>
    </w:p>
    <w:p w:rsidR="00A63B49" w:rsidRDefault="005B63BD" w:rsidP="00A63B49">
      <w:pPr>
        <w:jc w:val="center"/>
        <w:rPr>
          <w:rFonts w:ascii="Tahoma" w:eastAsia="Tahoma" w:hAnsi="Tahoma" w:cs="Tahoma"/>
          <w:sz w:val="18"/>
          <w:szCs w:val="18"/>
        </w:rPr>
      </w:pPr>
      <w:r>
        <w:rPr>
          <w:rFonts w:ascii="Tahoma" w:eastAsia="Tahoma" w:hAnsi="Tahoma" w:cs="Tahoma"/>
          <w:sz w:val="18"/>
          <w:szCs w:val="18"/>
        </w:rPr>
        <w:t xml:space="preserve">Fonte: </w:t>
      </w:r>
      <w:proofErr w:type="spellStart"/>
      <w:r>
        <w:rPr>
          <w:rFonts w:ascii="Tahoma" w:eastAsia="Tahoma" w:hAnsi="Tahoma" w:cs="Tahoma"/>
          <w:sz w:val="18"/>
          <w:szCs w:val="18"/>
        </w:rPr>
        <w:t>SIGeo</w:t>
      </w:r>
      <w:proofErr w:type="spellEnd"/>
      <w:r>
        <w:rPr>
          <w:rFonts w:ascii="Tahoma" w:eastAsia="Tahoma" w:hAnsi="Tahoma" w:cs="Tahoma"/>
          <w:sz w:val="18"/>
          <w:szCs w:val="18"/>
        </w:rPr>
        <w:t xml:space="preserve"> Niterói. Imagem gerada em 25/01/2024</w:t>
      </w:r>
    </w:p>
    <w:p w:rsidR="00F32CD0" w:rsidRDefault="00F32CD0">
      <w:pPr>
        <w:jc w:val="center"/>
        <w:rPr>
          <w:rFonts w:ascii="Tahoma" w:eastAsia="Tahoma" w:hAnsi="Tahoma" w:cs="Tahoma"/>
          <w:sz w:val="18"/>
          <w:szCs w:val="18"/>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5698942" cy="2902688"/>
            <wp:effectExtent l="0" t="0" r="0" b="0"/>
            <wp:docPr id="2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8" cstate="print"/>
                    <a:srcRect l="5909" t="9633" r="7517" b="27803"/>
                    <a:stretch>
                      <a:fillRect/>
                    </a:stretch>
                  </pic:blipFill>
                  <pic:spPr>
                    <a:xfrm>
                      <a:off x="0" y="0"/>
                      <a:ext cx="5719897" cy="2913361"/>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Imagem mostrando a Faixa Marginal de Proteção das Lagunas (porção Lagoa de Piratininga) e a ocupação urbana já consolidada dentro de uma área de proteção ambiental. Fonte: </w:t>
      </w:r>
      <w:proofErr w:type="spellStart"/>
      <w:r>
        <w:rPr>
          <w:rFonts w:ascii="Tahoma" w:eastAsia="Tahoma" w:hAnsi="Tahoma" w:cs="Tahoma"/>
          <w:sz w:val="18"/>
          <w:szCs w:val="18"/>
        </w:rPr>
        <w:t>SIGeo</w:t>
      </w:r>
      <w:proofErr w:type="spellEnd"/>
      <w:r>
        <w:rPr>
          <w:rFonts w:ascii="Tahoma" w:eastAsia="Tahoma" w:hAnsi="Tahoma" w:cs="Tahoma"/>
          <w:sz w:val="18"/>
          <w:szCs w:val="18"/>
        </w:rPr>
        <w:t xml:space="preserve"> Niterói. Imagem gerada em 25/01/2024</w:t>
      </w:r>
      <w:r>
        <w:rPr>
          <w:rFonts w:ascii="Tahoma" w:eastAsia="Tahoma" w:hAnsi="Tahoma" w:cs="Tahoma"/>
          <w:noProof/>
          <w:sz w:val="18"/>
          <w:szCs w:val="18"/>
          <w:lang w:eastAsia="pt-BR"/>
        </w:rPr>
        <w:drawing>
          <wp:inline distT="114300" distB="114300" distL="114300" distR="114300">
            <wp:extent cx="4881393" cy="3838927"/>
            <wp:effectExtent l="0" t="0" r="0" b="9525"/>
            <wp:docPr id="2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9"/>
                    <a:srcRect l="23529" t="18646" r="33061" b="32984"/>
                    <a:stretch>
                      <a:fillRect/>
                    </a:stretch>
                  </pic:blipFill>
                  <pic:spPr>
                    <a:xfrm>
                      <a:off x="0" y="0"/>
                      <a:ext cx="4887067" cy="3843389"/>
                    </a:xfrm>
                    <a:prstGeom prst="rect">
                      <a:avLst/>
                    </a:prstGeom>
                    <a:ln/>
                  </pic:spPr>
                </pic:pic>
              </a:graphicData>
            </a:graphic>
          </wp:inline>
        </w:drawing>
      </w:r>
    </w:p>
    <w:p w:rsidR="004F422B" w:rsidRDefault="005B63BD">
      <w:pPr>
        <w:jc w:val="center"/>
        <w:rPr>
          <w:rFonts w:ascii="Tahoma" w:eastAsia="Tahoma" w:hAnsi="Tahoma" w:cs="Tahoma"/>
          <w:sz w:val="18"/>
          <w:szCs w:val="18"/>
        </w:rPr>
      </w:pPr>
      <w:r>
        <w:rPr>
          <w:rFonts w:ascii="Tahoma" w:eastAsia="Tahoma" w:hAnsi="Tahoma" w:cs="Tahoma"/>
          <w:sz w:val="18"/>
          <w:szCs w:val="18"/>
        </w:rPr>
        <w:t xml:space="preserve">Imagem mostrando a Faixa Marginal de Proteção das Lagunas (porção Lagoa de </w:t>
      </w:r>
      <w:r w:rsidR="004F422B">
        <w:rPr>
          <w:rFonts w:ascii="Tahoma" w:eastAsia="Tahoma" w:hAnsi="Tahoma" w:cs="Tahoma"/>
          <w:sz w:val="18"/>
          <w:szCs w:val="18"/>
        </w:rPr>
        <w:t>Itaipu</w:t>
      </w:r>
      <w:r>
        <w:rPr>
          <w:rFonts w:ascii="Tahoma" w:eastAsia="Tahoma" w:hAnsi="Tahoma" w:cs="Tahoma"/>
          <w:sz w:val="18"/>
          <w:szCs w:val="18"/>
        </w:rPr>
        <w:t xml:space="preserve">). </w:t>
      </w:r>
    </w:p>
    <w:p w:rsidR="007049E0" w:rsidRDefault="005B63BD">
      <w:pPr>
        <w:jc w:val="center"/>
        <w:rPr>
          <w:rFonts w:ascii="Tahoma" w:eastAsia="Tahoma" w:hAnsi="Tahoma" w:cs="Tahoma"/>
          <w:sz w:val="22"/>
          <w:szCs w:val="22"/>
        </w:rPr>
      </w:pPr>
      <w:r>
        <w:rPr>
          <w:rFonts w:ascii="Tahoma" w:eastAsia="Tahoma" w:hAnsi="Tahoma" w:cs="Tahoma"/>
          <w:sz w:val="18"/>
          <w:szCs w:val="18"/>
        </w:rPr>
        <w:t xml:space="preserve">Fonte: </w:t>
      </w:r>
      <w:proofErr w:type="spellStart"/>
      <w:r>
        <w:rPr>
          <w:rFonts w:ascii="Tahoma" w:eastAsia="Tahoma" w:hAnsi="Tahoma" w:cs="Tahoma"/>
          <w:sz w:val="18"/>
          <w:szCs w:val="18"/>
        </w:rPr>
        <w:t>SIGeo</w:t>
      </w:r>
      <w:proofErr w:type="spellEnd"/>
      <w:r>
        <w:rPr>
          <w:rFonts w:ascii="Tahoma" w:eastAsia="Tahoma" w:hAnsi="Tahoma" w:cs="Tahoma"/>
          <w:sz w:val="18"/>
          <w:szCs w:val="18"/>
        </w:rPr>
        <w:t xml:space="preserve"> Niterói. Imagem gerada em 25/01/2024</w:t>
      </w:r>
    </w:p>
    <w:p w:rsidR="007049E0" w:rsidRDefault="007049E0">
      <w:pPr>
        <w:spacing w:line="360" w:lineRule="auto"/>
        <w:jc w:val="center"/>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5906364" cy="2881423"/>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914530" cy="2885407"/>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Imagem mostrando o polígono do bem arqueológico Sambaqui de Camboinhas. </w:t>
      </w:r>
    </w:p>
    <w:p w:rsidR="007049E0" w:rsidRDefault="005B63BD">
      <w:pPr>
        <w:jc w:val="center"/>
        <w:rPr>
          <w:rFonts w:ascii="Tahoma" w:eastAsia="Tahoma" w:hAnsi="Tahoma" w:cs="Tahoma"/>
          <w:sz w:val="18"/>
          <w:szCs w:val="18"/>
        </w:rPr>
      </w:pPr>
      <w:r>
        <w:rPr>
          <w:rFonts w:ascii="Tahoma" w:eastAsia="Tahoma" w:hAnsi="Tahoma" w:cs="Tahoma"/>
          <w:sz w:val="18"/>
          <w:szCs w:val="18"/>
        </w:rPr>
        <w:t>Fonte: SICG-IPHAN. Imagem gerada em 12/01/2024</w:t>
      </w:r>
      <w:r>
        <w:rPr>
          <w:rFonts w:ascii="Tahoma" w:eastAsia="Tahoma" w:hAnsi="Tahoma" w:cs="Tahoma"/>
          <w:noProof/>
          <w:sz w:val="18"/>
          <w:szCs w:val="18"/>
          <w:lang w:eastAsia="pt-BR"/>
        </w:rPr>
        <w:drawing>
          <wp:inline distT="114300" distB="114300" distL="114300" distR="114300">
            <wp:extent cx="6558264" cy="1881963"/>
            <wp:effectExtent l="0" t="0" r="0" b="4445"/>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21"/>
                    <a:srcRect l="1289" r="1039"/>
                    <a:stretch/>
                  </pic:blipFill>
                  <pic:spPr bwMode="auto">
                    <a:xfrm>
                      <a:off x="0" y="0"/>
                      <a:ext cx="6591573" cy="189152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Informações acerca do Sambaqui de Camboinhas fornecidas pelo IPHAN. </w:t>
      </w:r>
    </w:p>
    <w:p w:rsidR="007049E0" w:rsidRDefault="005B63BD">
      <w:pPr>
        <w:jc w:val="center"/>
        <w:rPr>
          <w:rFonts w:ascii="Tahoma" w:eastAsia="Tahoma" w:hAnsi="Tahoma" w:cs="Tahoma"/>
          <w:sz w:val="18"/>
          <w:szCs w:val="18"/>
        </w:rPr>
      </w:pPr>
      <w:r>
        <w:rPr>
          <w:rFonts w:ascii="Tahoma" w:eastAsia="Tahoma" w:hAnsi="Tahoma" w:cs="Tahoma"/>
          <w:sz w:val="18"/>
          <w:szCs w:val="18"/>
        </w:rPr>
        <w:t>Fonte: SICG-IPHAN. Imagem gerada em 12/01/2024</w:t>
      </w:r>
    </w:p>
    <w:p w:rsidR="00F23B9B" w:rsidRDefault="00F23B9B">
      <w:pPr>
        <w:jc w:val="center"/>
        <w:rPr>
          <w:rFonts w:ascii="Tahoma" w:eastAsia="Tahoma" w:hAnsi="Tahoma" w:cs="Tahoma"/>
          <w:sz w:val="18"/>
          <w:szCs w:val="18"/>
        </w:rPr>
      </w:pPr>
    </w:p>
    <w:p w:rsidR="007049E0" w:rsidRDefault="005B63BD">
      <w:pPr>
        <w:jc w:val="center"/>
        <w:rPr>
          <w:rFonts w:ascii="Tahoma" w:eastAsia="Tahoma" w:hAnsi="Tahoma" w:cs="Tahoma"/>
          <w:sz w:val="18"/>
          <w:szCs w:val="18"/>
        </w:rPr>
      </w:pPr>
      <w:r>
        <w:rPr>
          <w:rFonts w:ascii="Tahoma" w:eastAsia="Tahoma" w:hAnsi="Tahoma" w:cs="Tahoma"/>
          <w:noProof/>
          <w:sz w:val="18"/>
          <w:szCs w:val="18"/>
          <w:lang w:eastAsia="pt-BR"/>
        </w:rPr>
        <w:lastRenderedPageBreak/>
        <w:drawing>
          <wp:inline distT="114300" distB="114300" distL="114300" distR="114300">
            <wp:extent cx="6042992" cy="27432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6054619" cy="2748478"/>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Imagem mostrando o polígono do bem arque</w:t>
      </w:r>
      <w:r w:rsidR="00F23B9B">
        <w:rPr>
          <w:rFonts w:ascii="Tahoma" w:eastAsia="Tahoma" w:hAnsi="Tahoma" w:cs="Tahoma"/>
          <w:sz w:val="18"/>
          <w:szCs w:val="18"/>
        </w:rPr>
        <w:t xml:space="preserve">ológico </w:t>
      </w:r>
      <w:r w:rsidR="001D2E39" w:rsidRPr="001D2E39">
        <w:rPr>
          <w:rFonts w:ascii="Tahoma" w:eastAsia="Tahoma" w:hAnsi="Tahoma" w:cs="Tahoma"/>
          <w:sz w:val="18"/>
          <w:szCs w:val="18"/>
        </w:rPr>
        <w:t xml:space="preserve">Sítio Arqueológico de </w:t>
      </w:r>
      <w:proofErr w:type="spellStart"/>
      <w:r w:rsidR="001D2E39" w:rsidRPr="001D2E39">
        <w:rPr>
          <w:rFonts w:ascii="Tahoma" w:eastAsia="Tahoma" w:hAnsi="Tahoma" w:cs="Tahoma"/>
          <w:sz w:val="18"/>
          <w:szCs w:val="18"/>
        </w:rPr>
        <w:t>Itaipú</w:t>
      </w:r>
      <w:proofErr w:type="spellEnd"/>
      <w:r w:rsidR="001D2E39" w:rsidRPr="001D2E39">
        <w:rPr>
          <w:rFonts w:ascii="Tahoma" w:eastAsia="Tahoma" w:hAnsi="Tahoma" w:cs="Tahoma"/>
          <w:sz w:val="18"/>
          <w:szCs w:val="18"/>
        </w:rPr>
        <w:t xml:space="preserve"> (Sambaqui da Duna Grande)</w:t>
      </w:r>
      <w:r>
        <w:rPr>
          <w:rFonts w:ascii="Tahoma" w:eastAsia="Tahoma" w:hAnsi="Tahoma" w:cs="Tahoma"/>
          <w:sz w:val="18"/>
          <w:szCs w:val="18"/>
        </w:rPr>
        <w:t xml:space="preserve">. </w:t>
      </w:r>
    </w:p>
    <w:p w:rsidR="007049E0" w:rsidRDefault="005B63BD">
      <w:pPr>
        <w:jc w:val="center"/>
        <w:rPr>
          <w:rFonts w:ascii="Tahoma" w:eastAsia="Tahoma" w:hAnsi="Tahoma" w:cs="Tahoma"/>
          <w:sz w:val="18"/>
          <w:szCs w:val="18"/>
        </w:rPr>
      </w:pPr>
      <w:r>
        <w:rPr>
          <w:rFonts w:ascii="Tahoma" w:eastAsia="Tahoma" w:hAnsi="Tahoma" w:cs="Tahoma"/>
          <w:sz w:val="18"/>
          <w:szCs w:val="18"/>
        </w:rPr>
        <w:t>Fonte: SICG-IPHAN. Imagem gerada em 12/01/2024</w:t>
      </w:r>
    </w:p>
    <w:p w:rsidR="007049E0" w:rsidRDefault="007049E0">
      <w:pPr>
        <w:jc w:val="center"/>
        <w:rPr>
          <w:rFonts w:ascii="Tahoma" w:eastAsia="Tahoma" w:hAnsi="Tahoma" w:cs="Tahoma"/>
          <w:sz w:val="18"/>
          <w:szCs w:val="18"/>
        </w:rPr>
      </w:pPr>
    </w:p>
    <w:p w:rsidR="007049E0" w:rsidRDefault="005B63BD">
      <w:pPr>
        <w:jc w:val="center"/>
        <w:rPr>
          <w:rFonts w:ascii="Tahoma" w:eastAsia="Tahoma" w:hAnsi="Tahoma" w:cs="Tahoma"/>
          <w:sz w:val="18"/>
          <w:szCs w:val="18"/>
        </w:rPr>
      </w:pPr>
      <w:r>
        <w:rPr>
          <w:rFonts w:ascii="Tahoma" w:eastAsia="Tahoma" w:hAnsi="Tahoma" w:cs="Tahoma"/>
          <w:noProof/>
          <w:sz w:val="18"/>
          <w:szCs w:val="18"/>
          <w:lang w:eastAsia="pt-BR"/>
        </w:rPr>
        <w:drawing>
          <wp:inline distT="114300" distB="114300" distL="114300" distR="114300">
            <wp:extent cx="6560392" cy="1956391"/>
            <wp:effectExtent l="0" t="0" r="0" b="635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23"/>
                    <a:srcRect b="36212"/>
                    <a:stretch/>
                  </pic:blipFill>
                  <pic:spPr bwMode="auto">
                    <a:xfrm>
                      <a:off x="0" y="0"/>
                      <a:ext cx="6615956" cy="197296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Informações acerca do Sambaqui da Duna Grande fornecidas pelo IPHAN. </w:t>
      </w:r>
    </w:p>
    <w:p w:rsidR="00806709" w:rsidRDefault="005B63BD">
      <w:pPr>
        <w:jc w:val="center"/>
        <w:rPr>
          <w:rFonts w:ascii="Tahoma" w:eastAsia="Tahoma" w:hAnsi="Tahoma" w:cs="Tahoma"/>
          <w:sz w:val="18"/>
          <w:szCs w:val="18"/>
        </w:rPr>
      </w:pPr>
      <w:r>
        <w:rPr>
          <w:rFonts w:ascii="Tahoma" w:eastAsia="Tahoma" w:hAnsi="Tahoma" w:cs="Tahoma"/>
          <w:sz w:val="18"/>
          <w:szCs w:val="18"/>
        </w:rPr>
        <w:t>Fonte: SICG-IPHAN. Imagem gerada em 12/01/2024</w:t>
      </w:r>
    </w:p>
    <w:p w:rsidR="001F2C3B" w:rsidRDefault="00806709" w:rsidP="00F23B9B">
      <w:pPr>
        <w:jc w:val="both"/>
        <w:rPr>
          <w:rFonts w:ascii="Tahoma" w:eastAsia="Tahoma" w:hAnsi="Tahoma" w:cs="Tahoma"/>
          <w:sz w:val="22"/>
          <w:szCs w:val="22"/>
        </w:rPr>
      </w:pPr>
      <w:r w:rsidRPr="00F23B9B">
        <w:rPr>
          <w:rFonts w:ascii="Tahoma" w:eastAsia="Tahoma" w:hAnsi="Tahoma" w:cs="Tahoma"/>
          <w:sz w:val="22"/>
          <w:szCs w:val="22"/>
        </w:rPr>
        <w:t>A fim de reforçar a importância da preservação dos sítios e bens arqueológicos tombados pelo órgão máximo de patrimônio nacional, o IPHAN, tra</w:t>
      </w:r>
      <w:r w:rsidR="00F23B9B" w:rsidRPr="00F23B9B">
        <w:rPr>
          <w:rFonts w:ascii="Tahoma" w:eastAsia="Tahoma" w:hAnsi="Tahoma" w:cs="Tahoma"/>
          <w:sz w:val="22"/>
          <w:szCs w:val="22"/>
        </w:rPr>
        <w:t>nscrevemos os textos disponibilizados na plataforma digital do referido órgão acerca do</w:t>
      </w:r>
      <w:r w:rsidR="001D2E39">
        <w:rPr>
          <w:rFonts w:ascii="Tahoma" w:eastAsia="Tahoma" w:hAnsi="Tahoma" w:cs="Tahoma"/>
          <w:sz w:val="22"/>
          <w:szCs w:val="22"/>
        </w:rPr>
        <w:t>s:</w:t>
      </w:r>
    </w:p>
    <w:p w:rsidR="001F2C3B" w:rsidRDefault="001F2C3B" w:rsidP="00F23B9B">
      <w:pPr>
        <w:jc w:val="both"/>
        <w:rPr>
          <w:rFonts w:ascii="Tahoma" w:eastAsia="Tahoma" w:hAnsi="Tahoma" w:cs="Tahoma"/>
          <w:sz w:val="22"/>
          <w:szCs w:val="22"/>
        </w:rPr>
      </w:pPr>
    </w:p>
    <w:p w:rsidR="001F2C3B" w:rsidRDefault="00F23B9B" w:rsidP="00F23B9B">
      <w:pPr>
        <w:jc w:val="both"/>
        <w:rPr>
          <w:rFonts w:ascii="Tahoma" w:eastAsia="Tahoma" w:hAnsi="Tahoma" w:cs="Tahoma"/>
          <w:sz w:val="22"/>
          <w:szCs w:val="22"/>
        </w:rPr>
      </w:pPr>
      <w:r w:rsidRPr="001F2C3B">
        <w:rPr>
          <w:rFonts w:ascii="Tahoma" w:eastAsia="Tahoma" w:hAnsi="Tahoma" w:cs="Tahoma"/>
          <w:b/>
          <w:sz w:val="22"/>
          <w:szCs w:val="22"/>
        </w:rPr>
        <w:t>Sambaqui de Camboinhas</w:t>
      </w:r>
      <w:r w:rsidRPr="00F23B9B">
        <w:rPr>
          <w:rFonts w:ascii="Tahoma" w:eastAsia="Tahoma" w:hAnsi="Tahoma" w:cs="Tahoma"/>
          <w:sz w:val="22"/>
          <w:szCs w:val="22"/>
        </w:rPr>
        <w:t xml:space="preserve">, a saber: </w:t>
      </w:r>
    </w:p>
    <w:p w:rsidR="001F2C3B" w:rsidRDefault="00F23B9B" w:rsidP="00F23B9B">
      <w:pPr>
        <w:jc w:val="both"/>
        <w:rPr>
          <w:rFonts w:ascii="Tahoma" w:eastAsia="Tahoma" w:hAnsi="Tahoma" w:cs="Tahoma"/>
          <w:sz w:val="22"/>
          <w:szCs w:val="22"/>
        </w:rPr>
      </w:pPr>
      <w:r w:rsidRPr="00F23B9B">
        <w:rPr>
          <w:rFonts w:ascii="Tahoma" w:eastAsia="Tahoma" w:hAnsi="Tahoma" w:cs="Tahoma"/>
          <w:sz w:val="22"/>
          <w:szCs w:val="22"/>
        </w:rPr>
        <w:t>“</w:t>
      </w:r>
      <w:r w:rsidRPr="001D2E39">
        <w:rPr>
          <w:rFonts w:ascii="Tahoma" w:eastAsia="Tahoma" w:hAnsi="Tahoma" w:cs="Tahoma"/>
          <w:i/>
          <w:sz w:val="22"/>
          <w:szCs w:val="22"/>
        </w:rPr>
        <w:t xml:space="preserve">Sítio impossível de delimitar face à sua total destruição – Tipo de solo do local: arenoso escuro – Tipo de solo dos arredores: arenoso branco (...) Nota da pesquisadora: ‘O local sofreu terraplanagem e a área será urbanizada pela </w:t>
      </w:r>
      <w:proofErr w:type="spellStart"/>
      <w:r w:rsidRPr="001D2E39">
        <w:rPr>
          <w:rFonts w:ascii="Tahoma" w:eastAsia="Tahoma" w:hAnsi="Tahoma" w:cs="Tahoma"/>
          <w:i/>
          <w:sz w:val="22"/>
          <w:szCs w:val="22"/>
        </w:rPr>
        <w:t>Veplan-Residência</w:t>
      </w:r>
      <w:proofErr w:type="spellEnd"/>
      <w:r w:rsidRPr="001D2E39">
        <w:rPr>
          <w:rFonts w:ascii="Tahoma" w:eastAsia="Tahoma" w:hAnsi="Tahoma" w:cs="Tahoma"/>
          <w:i/>
          <w:sz w:val="22"/>
          <w:szCs w:val="22"/>
        </w:rPr>
        <w:t>. Sobre o Sambaqui encontra-se uma placa com os seguintes dizeres: ‘Setor turístico – Porto-Iate Clube Hotel.’’ – A documentação do sítio conta com fotos e material suplementar depositados nos ‘Remanescentes do Recolhimento de Santa Teresa</w:t>
      </w:r>
      <w:r w:rsidRPr="00F23B9B">
        <w:rPr>
          <w:rFonts w:ascii="Tahoma" w:eastAsia="Tahoma" w:hAnsi="Tahoma" w:cs="Tahoma"/>
          <w:sz w:val="22"/>
          <w:szCs w:val="22"/>
        </w:rPr>
        <w:t>”</w:t>
      </w:r>
      <w:r>
        <w:rPr>
          <w:rFonts w:ascii="Tahoma" w:eastAsia="Tahoma" w:hAnsi="Tahoma" w:cs="Tahoma"/>
          <w:sz w:val="22"/>
          <w:szCs w:val="22"/>
        </w:rPr>
        <w:t xml:space="preserve">; </w:t>
      </w:r>
    </w:p>
    <w:p w:rsidR="001F2C3B" w:rsidRDefault="001F2C3B" w:rsidP="00F23B9B">
      <w:pPr>
        <w:jc w:val="both"/>
        <w:rPr>
          <w:rFonts w:ascii="Tahoma" w:eastAsia="Tahoma" w:hAnsi="Tahoma" w:cs="Tahoma"/>
          <w:sz w:val="22"/>
          <w:szCs w:val="22"/>
        </w:rPr>
      </w:pPr>
    </w:p>
    <w:p w:rsidR="00F23B9B" w:rsidRDefault="00F23B9B" w:rsidP="00F23B9B">
      <w:pPr>
        <w:jc w:val="both"/>
        <w:rPr>
          <w:rFonts w:ascii="Tahoma" w:eastAsia="Tahoma" w:hAnsi="Tahoma" w:cs="Tahoma"/>
          <w:sz w:val="22"/>
          <w:szCs w:val="22"/>
        </w:rPr>
      </w:pPr>
      <w:r w:rsidRPr="001F2C3B">
        <w:rPr>
          <w:rFonts w:ascii="Tahoma" w:eastAsia="Tahoma" w:hAnsi="Tahoma" w:cs="Tahoma"/>
          <w:b/>
          <w:sz w:val="22"/>
          <w:szCs w:val="22"/>
        </w:rPr>
        <w:t xml:space="preserve">Sítio Arqueológico de </w:t>
      </w:r>
      <w:proofErr w:type="spellStart"/>
      <w:r w:rsidRPr="001F2C3B">
        <w:rPr>
          <w:rFonts w:ascii="Tahoma" w:eastAsia="Tahoma" w:hAnsi="Tahoma" w:cs="Tahoma"/>
          <w:b/>
          <w:sz w:val="22"/>
          <w:szCs w:val="22"/>
        </w:rPr>
        <w:t>Itaipú</w:t>
      </w:r>
      <w:proofErr w:type="spellEnd"/>
      <w:r w:rsidRPr="001F2C3B">
        <w:rPr>
          <w:rFonts w:ascii="Tahoma" w:eastAsia="Tahoma" w:hAnsi="Tahoma" w:cs="Tahoma"/>
          <w:b/>
          <w:sz w:val="22"/>
          <w:szCs w:val="22"/>
        </w:rPr>
        <w:t xml:space="preserve"> (</w:t>
      </w:r>
      <w:r w:rsidR="001D2E39">
        <w:rPr>
          <w:rFonts w:ascii="Tahoma" w:eastAsia="Tahoma" w:hAnsi="Tahoma" w:cs="Tahoma"/>
          <w:b/>
          <w:sz w:val="22"/>
          <w:szCs w:val="22"/>
        </w:rPr>
        <w:t xml:space="preserve">Sambaqui da </w:t>
      </w:r>
      <w:r w:rsidRPr="001F2C3B">
        <w:rPr>
          <w:rFonts w:ascii="Tahoma" w:eastAsia="Tahoma" w:hAnsi="Tahoma" w:cs="Tahoma"/>
          <w:b/>
          <w:sz w:val="22"/>
          <w:szCs w:val="22"/>
        </w:rPr>
        <w:t>Duna Grande)</w:t>
      </w:r>
      <w:r w:rsidR="001F2C3B">
        <w:rPr>
          <w:rFonts w:ascii="Tahoma" w:eastAsia="Tahoma" w:hAnsi="Tahoma" w:cs="Tahoma"/>
          <w:sz w:val="22"/>
          <w:szCs w:val="22"/>
        </w:rPr>
        <w:t>:</w:t>
      </w:r>
    </w:p>
    <w:p w:rsidR="001D2E39" w:rsidRPr="00F23B9B" w:rsidRDefault="001F2C3B" w:rsidP="00F23B9B">
      <w:pPr>
        <w:jc w:val="both"/>
        <w:rPr>
          <w:rFonts w:ascii="Tahoma" w:eastAsia="Tahoma" w:hAnsi="Tahoma" w:cs="Tahoma"/>
          <w:sz w:val="22"/>
          <w:szCs w:val="22"/>
        </w:rPr>
      </w:pPr>
      <w:r>
        <w:rPr>
          <w:rFonts w:ascii="Tahoma" w:eastAsia="Tahoma" w:hAnsi="Tahoma" w:cs="Tahoma"/>
          <w:sz w:val="22"/>
          <w:szCs w:val="22"/>
        </w:rPr>
        <w:t>“</w:t>
      </w:r>
      <w:r w:rsidRPr="001D2E39">
        <w:rPr>
          <w:rFonts w:ascii="Tahoma" w:eastAsia="Tahoma" w:hAnsi="Tahoma" w:cs="Tahoma"/>
          <w:i/>
          <w:sz w:val="22"/>
          <w:szCs w:val="22"/>
        </w:rPr>
        <w:t xml:space="preserve">Sítio sobre duna com presença de remanescentes faunísticos e de vegetais, fragmentos de estrutura de combustão, instrumentos líticos em quartzo e </w:t>
      </w:r>
      <w:proofErr w:type="spellStart"/>
      <w:r w:rsidRPr="001D2E39">
        <w:rPr>
          <w:rFonts w:ascii="Tahoma" w:eastAsia="Tahoma" w:hAnsi="Tahoma" w:cs="Tahoma"/>
          <w:i/>
          <w:sz w:val="22"/>
          <w:szCs w:val="22"/>
        </w:rPr>
        <w:t>quartizito</w:t>
      </w:r>
      <w:proofErr w:type="spellEnd"/>
      <w:r w:rsidRPr="001D2E39">
        <w:rPr>
          <w:rFonts w:ascii="Tahoma" w:eastAsia="Tahoma" w:hAnsi="Tahoma" w:cs="Tahoma"/>
          <w:i/>
          <w:sz w:val="22"/>
          <w:szCs w:val="22"/>
        </w:rPr>
        <w:t xml:space="preserve"> e sepultamentos humanos. O sítio j</w:t>
      </w:r>
      <w:r w:rsidR="001D2E39" w:rsidRPr="001D2E39">
        <w:rPr>
          <w:rFonts w:ascii="Tahoma" w:eastAsia="Tahoma" w:hAnsi="Tahoma" w:cs="Tahoma"/>
          <w:i/>
          <w:sz w:val="22"/>
          <w:szCs w:val="22"/>
        </w:rPr>
        <w:t>á sofr</w:t>
      </w:r>
      <w:r w:rsidR="001D2E39">
        <w:rPr>
          <w:rFonts w:ascii="Tahoma" w:eastAsia="Tahoma" w:hAnsi="Tahoma" w:cs="Tahoma"/>
          <w:i/>
          <w:sz w:val="22"/>
          <w:szCs w:val="22"/>
        </w:rPr>
        <w:t>e</w:t>
      </w:r>
      <w:r w:rsidR="001D2E39" w:rsidRPr="001D2E39">
        <w:rPr>
          <w:rFonts w:ascii="Tahoma" w:eastAsia="Tahoma" w:hAnsi="Tahoma" w:cs="Tahoma"/>
          <w:i/>
          <w:sz w:val="22"/>
          <w:szCs w:val="22"/>
        </w:rPr>
        <w:t xml:space="preserve">u </w:t>
      </w:r>
      <w:r w:rsidR="001D2E39" w:rsidRPr="001D2E39">
        <w:rPr>
          <w:rFonts w:ascii="Tahoma" w:eastAsia="Tahoma" w:hAnsi="Tahoma" w:cs="Tahoma"/>
          <w:i/>
          <w:sz w:val="22"/>
          <w:szCs w:val="22"/>
        </w:rPr>
        <w:lastRenderedPageBreak/>
        <w:t xml:space="preserve">salvamento arqueológico (...). O Sítio Arqueológico de </w:t>
      </w:r>
      <w:proofErr w:type="spellStart"/>
      <w:r w:rsidR="001D2E39" w:rsidRPr="001D2E39">
        <w:rPr>
          <w:rFonts w:ascii="Tahoma" w:eastAsia="Tahoma" w:hAnsi="Tahoma" w:cs="Tahoma"/>
          <w:i/>
          <w:sz w:val="22"/>
          <w:szCs w:val="22"/>
        </w:rPr>
        <w:t>Itaipú</w:t>
      </w:r>
      <w:proofErr w:type="spellEnd"/>
      <w:r w:rsidR="001D2E39" w:rsidRPr="001D2E39">
        <w:rPr>
          <w:rFonts w:ascii="Tahoma" w:eastAsia="Tahoma" w:hAnsi="Tahoma" w:cs="Tahoma"/>
          <w:i/>
          <w:sz w:val="22"/>
          <w:szCs w:val="22"/>
        </w:rPr>
        <w:t xml:space="preserve"> (Duna Grande) está localizado em </w:t>
      </w:r>
      <w:proofErr w:type="spellStart"/>
      <w:r w:rsidR="001D2E39" w:rsidRPr="001D2E39">
        <w:rPr>
          <w:rFonts w:ascii="Tahoma" w:eastAsia="Tahoma" w:hAnsi="Tahoma" w:cs="Tahoma"/>
          <w:i/>
          <w:sz w:val="22"/>
          <w:szCs w:val="22"/>
        </w:rPr>
        <w:t>Itaipú</w:t>
      </w:r>
      <w:proofErr w:type="spellEnd"/>
      <w:r w:rsidR="001D2E39" w:rsidRPr="001D2E39">
        <w:rPr>
          <w:rFonts w:ascii="Tahoma" w:eastAsia="Tahoma" w:hAnsi="Tahoma" w:cs="Tahoma"/>
          <w:i/>
          <w:sz w:val="22"/>
          <w:szCs w:val="22"/>
        </w:rPr>
        <w:t xml:space="preserve">, na cidade de Niterói, no Rio de Janeiro (...). </w:t>
      </w:r>
      <w:r w:rsidR="001D2E39" w:rsidRPr="001D2E39">
        <w:rPr>
          <w:rFonts w:ascii="Tahoma" w:eastAsia="Tahoma" w:hAnsi="Tahoma" w:cs="Tahoma"/>
          <w:b/>
          <w:i/>
          <w:sz w:val="22"/>
          <w:szCs w:val="22"/>
        </w:rPr>
        <w:t xml:space="preserve">Parte do sítio foi salvo e escolhido como um monumento símbolo da pré-história, em 1987, representando um dos mais antigos registros da ocupação humana no litoral do Brasil. </w:t>
      </w:r>
      <w:r w:rsidR="001D2E39" w:rsidRPr="001D2E39">
        <w:rPr>
          <w:rFonts w:ascii="Tahoma" w:eastAsia="Tahoma" w:hAnsi="Tahoma" w:cs="Tahoma"/>
          <w:i/>
          <w:sz w:val="22"/>
          <w:szCs w:val="22"/>
        </w:rPr>
        <w:t>No sítio foi realizada a etapa de preservação com cercas e placa indicativa. No entanto, a população quebrou parte da cerca e realiza trilhas no local com depósito de lixo por todo o sítio arqueológico</w:t>
      </w:r>
      <w:r w:rsidR="001D2E39">
        <w:rPr>
          <w:rFonts w:ascii="Tahoma" w:eastAsia="Tahoma" w:hAnsi="Tahoma" w:cs="Tahoma"/>
          <w:sz w:val="22"/>
          <w:szCs w:val="22"/>
        </w:rPr>
        <w:t>”.</w:t>
      </w:r>
    </w:p>
    <w:p w:rsidR="00806709" w:rsidRDefault="00806709" w:rsidP="00806709">
      <w:pPr>
        <w:jc w:val="both"/>
        <w:rPr>
          <w:rFonts w:ascii="Tahoma" w:eastAsia="Tahoma" w:hAnsi="Tahoma" w:cs="Tahoma"/>
          <w:sz w:val="18"/>
          <w:szCs w:val="18"/>
        </w:rPr>
      </w:pPr>
    </w:p>
    <w:p w:rsidR="007049E0" w:rsidRDefault="007049E0">
      <w:pPr>
        <w:jc w:val="center"/>
        <w:rPr>
          <w:rFonts w:ascii="Tahoma" w:eastAsia="Tahoma" w:hAnsi="Tahoma" w:cs="Tahoma"/>
          <w:sz w:val="18"/>
          <w:szCs w:val="18"/>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118070" cy="317120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a:srcRect/>
                    <a:stretch>
                      <a:fillRect/>
                    </a:stretch>
                  </pic:blipFill>
                  <pic:spPr>
                    <a:xfrm>
                      <a:off x="0" y="0"/>
                      <a:ext cx="6118070" cy="3171200"/>
                    </a:xfrm>
                    <a:prstGeom prst="rect">
                      <a:avLst/>
                    </a:prstGeom>
                    <a:ln/>
                  </pic:spPr>
                </pic:pic>
              </a:graphicData>
            </a:graphic>
          </wp:inline>
        </w:drawing>
      </w:r>
    </w:p>
    <w:p w:rsidR="004F422B" w:rsidRDefault="005B63BD" w:rsidP="00A63B49">
      <w:pPr>
        <w:jc w:val="center"/>
        <w:rPr>
          <w:rFonts w:ascii="Tahoma" w:eastAsia="Tahoma" w:hAnsi="Tahoma" w:cs="Tahoma"/>
          <w:sz w:val="22"/>
          <w:szCs w:val="22"/>
        </w:rPr>
      </w:pPr>
      <w:r>
        <w:rPr>
          <w:rFonts w:ascii="Tahoma" w:eastAsia="Tahoma" w:hAnsi="Tahoma" w:cs="Tahoma"/>
          <w:sz w:val="18"/>
          <w:szCs w:val="18"/>
        </w:rPr>
        <w:t>Imagem mostrando proposta da Lei de Uso e Ocupação do Solo para o zoneamento no entorno da Lagoa de Piratininga, com permissão para adensamento e verticalização (ZC-ZEIS +8, ou seja, perfazendo um total de 9 pavimentos) dentro da FMP da Lagoa de Piratininga (linha azul). Fonte: Secretaria de Urbanismo - PMN. Imagem gerada em 25/01/2024</w:t>
      </w:r>
    </w:p>
    <w:p w:rsidR="004F422B" w:rsidRDefault="00FE3D81">
      <w:pPr>
        <w:spacing w:line="360" w:lineRule="auto"/>
        <w:jc w:val="center"/>
        <w:rPr>
          <w:rFonts w:ascii="Tahoma" w:eastAsia="Tahoma" w:hAnsi="Tahoma" w:cs="Tahoma"/>
          <w:sz w:val="22"/>
          <w:szCs w:val="22"/>
        </w:rPr>
      </w:pPr>
      <w:r>
        <w:rPr>
          <w:rFonts w:ascii="Tahoma" w:eastAsia="Tahoma" w:hAnsi="Tahoma" w:cs="Tahoma"/>
          <w:noProof/>
          <w:sz w:val="22"/>
          <w:szCs w:val="22"/>
          <w:lang w:eastAsia="pt-BR"/>
        </w:rPr>
        <w:lastRenderedPageBreak/>
        <w:pict>
          <v:oval id="Elipse 2" o:spid="_x0000_s1027" style="position:absolute;left:0;text-align:left;margin-left:86.2pt;margin-top:72.9pt;width:107.15pt;height:107.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" filled="f" strokecolor="red" strokeweight="2.75pt"/>
        </w:pict>
      </w:r>
      <w:r w:rsidR="004F422B">
        <w:rPr>
          <w:rFonts w:ascii="Tahoma" w:eastAsia="Tahoma" w:hAnsi="Tahoma" w:cs="Tahoma"/>
          <w:noProof/>
          <w:sz w:val="22"/>
          <w:szCs w:val="22"/>
          <w:lang w:eastAsia="pt-BR"/>
        </w:rPr>
        <w:drawing>
          <wp:inline distT="0" distB="0" distL="0" distR="0">
            <wp:extent cx="4976038" cy="302952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m título.jpg"/>
                    <pic:cNvPicPr/>
                  </pic:nvPicPr>
                  <pic:blipFill rotWithShape="1">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085" r="8963"/>
                    <a:stretch/>
                  </pic:blipFill>
                  <pic:spPr bwMode="auto">
                    <a:xfrm>
                      <a:off x="0" y="0"/>
                      <a:ext cx="5031222" cy="306311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06709" w:rsidRDefault="00806709" w:rsidP="00806709">
      <w:pPr>
        <w:jc w:val="center"/>
        <w:rPr>
          <w:rFonts w:ascii="Tahoma" w:eastAsia="Tahoma" w:hAnsi="Tahoma" w:cs="Tahoma"/>
          <w:sz w:val="18"/>
          <w:szCs w:val="18"/>
        </w:rPr>
      </w:pPr>
      <w:r>
        <w:rPr>
          <w:rFonts w:ascii="Tahoma" w:eastAsia="Tahoma" w:hAnsi="Tahoma" w:cs="Tahoma"/>
          <w:sz w:val="18"/>
          <w:szCs w:val="18"/>
        </w:rPr>
        <w:t xml:space="preserve">Imagem mostrando proposta da Lei de Uso e Ocupação do Solo para o zoneamento no entorno da Lagoa de </w:t>
      </w:r>
      <w:proofErr w:type="spellStart"/>
      <w:r>
        <w:rPr>
          <w:rFonts w:ascii="Tahoma" w:eastAsia="Tahoma" w:hAnsi="Tahoma" w:cs="Tahoma"/>
          <w:sz w:val="18"/>
          <w:szCs w:val="18"/>
        </w:rPr>
        <w:t>Itaipú</w:t>
      </w:r>
      <w:proofErr w:type="spellEnd"/>
      <w:r>
        <w:rPr>
          <w:rFonts w:ascii="Tahoma" w:eastAsia="Tahoma" w:hAnsi="Tahoma" w:cs="Tahoma"/>
          <w:sz w:val="18"/>
          <w:szCs w:val="18"/>
        </w:rPr>
        <w:t>, com permissão para ocupação na área do Sambaqui de Camboinhas (ZRA</w:t>
      </w:r>
      <w:r w:rsidR="00A63B49">
        <w:rPr>
          <w:rFonts w:ascii="Tahoma" w:eastAsia="Tahoma" w:hAnsi="Tahoma" w:cs="Tahoma"/>
          <w:sz w:val="18"/>
          <w:szCs w:val="18"/>
        </w:rPr>
        <w:t>+6</w:t>
      </w:r>
      <w:r>
        <w:rPr>
          <w:rFonts w:ascii="Tahoma" w:eastAsia="Tahoma" w:hAnsi="Tahoma" w:cs="Tahoma"/>
          <w:sz w:val="18"/>
          <w:szCs w:val="18"/>
        </w:rPr>
        <w:t xml:space="preserve"> – lado esquerdo da imagem). </w:t>
      </w:r>
    </w:p>
    <w:p w:rsidR="00806709" w:rsidRDefault="00806709" w:rsidP="00A63B49">
      <w:pPr>
        <w:jc w:val="center"/>
        <w:rPr>
          <w:rFonts w:ascii="Tahoma" w:eastAsia="Tahoma" w:hAnsi="Tahoma" w:cs="Tahoma"/>
          <w:sz w:val="22"/>
          <w:szCs w:val="22"/>
        </w:rPr>
      </w:pPr>
      <w:r>
        <w:rPr>
          <w:rFonts w:ascii="Tahoma" w:eastAsia="Tahoma" w:hAnsi="Tahoma" w:cs="Tahoma"/>
          <w:sz w:val="18"/>
          <w:szCs w:val="18"/>
        </w:rPr>
        <w:t>Fonte: Secretaria de Urbanismo - PMN. Imagem gerada em 25/01/2024</w:t>
      </w:r>
    </w:p>
    <w:p w:rsidR="007049E0" w:rsidRDefault="005B63BD">
      <w:pPr>
        <w:jc w:val="center"/>
        <w:rPr>
          <w:rFonts w:ascii="Tahoma" w:eastAsia="Tahoma" w:hAnsi="Tahoma" w:cs="Tahoma"/>
          <w:sz w:val="18"/>
          <w:szCs w:val="18"/>
        </w:rPr>
      </w:pPr>
      <w:r>
        <w:rPr>
          <w:rFonts w:ascii="Tahoma" w:eastAsia="Tahoma" w:hAnsi="Tahoma" w:cs="Tahoma"/>
          <w:noProof/>
          <w:sz w:val="18"/>
          <w:szCs w:val="18"/>
          <w:lang w:eastAsia="pt-BR"/>
        </w:rPr>
        <w:drawing>
          <wp:inline distT="114300" distB="114300" distL="114300" distR="114300">
            <wp:extent cx="4505310" cy="3092254"/>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26"/>
                    <a:srcRect l="2178" t="1" r="6529" b="21332"/>
                    <a:stretch/>
                  </pic:blipFill>
                  <pic:spPr bwMode="auto">
                    <a:xfrm>
                      <a:off x="0" y="0"/>
                      <a:ext cx="4555453" cy="31266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049E0" w:rsidRDefault="005B63BD" w:rsidP="001D2E39">
      <w:pPr>
        <w:rPr>
          <w:rFonts w:ascii="Tahoma" w:eastAsia="Tahoma" w:hAnsi="Tahoma" w:cs="Tahoma"/>
          <w:sz w:val="18"/>
          <w:szCs w:val="18"/>
        </w:rPr>
      </w:pPr>
      <w:r>
        <w:rPr>
          <w:rFonts w:ascii="Tahoma" w:eastAsia="Tahoma" w:hAnsi="Tahoma" w:cs="Tahoma"/>
          <w:sz w:val="18"/>
          <w:szCs w:val="18"/>
        </w:rPr>
        <w:t xml:space="preserve">Imagem demonstrando as áreas passíveis de inundação a partir das mudanças climáticas considerando o aumento do nível do mar para duas situações distintas: 1) Impacto do aumento do nível do mar associado à </w:t>
      </w:r>
      <w:r>
        <w:rPr>
          <w:rFonts w:ascii="Tahoma" w:eastAsia="Tahoma" w:hAnsi="Tahoma" w:cs="Tahoma"/>
          <w:color w:val="202124"/>
          <w:sz w:val="18"/>
          <w:szCs w:val="18"/>
          <w:shd w:val="clear" w:color="auto" w:fill="F8F9FA"/>
        </w:rPr>
        <w:t xml:space="preserve">maré astronômica mais alta - </w:t>
      </w:r>
      <w:r>
        <w:rPr>
          <w:rFonts w:ascii="Tahoma" w:eastAsia="Tahoma" w:hAnsi="Tahoma" w:cs="Tahoma"/>
          <w:sz w:val="18"/>
          <w:szCs w:val="18"/>
        </w:rPr>
        <w:t xml:space="preserve">azul claro 2) Impacto do aumento do nível do mar associado à </w:t>
      </w:r>
      <w:r>
        <w:rPr>
          <w:rFonts w:ascii="Tahoma" w:eastAsia="Tahoma" w:hAnsi="Tahoma" w:cs="Tahoma"/>
          <w:color w:val="202124"/>
          <w:sz w:val="18"/>
          <w:szCs w:val="18"/>
          <w:shd w:val="clear" w:color="auto" w:fill="F8F9FA"/>
        </w:rPr>
        <w:t xml:space="preserve">maré astronômica mais alta e tempestade oceânica - azul escuro (em livre tradução) Fonte: </w:t>
      </w:r>
      <w:proofErr w:type="spellStart"/>
      <w:r>
        <w:rPr>
          <w:rFonts w:ascii="Tahoma" w:eastAsia="Tahoma" w:hAnsi="Tahoma" w:cs="Tahoma"/>
          <w:i/>
          <w:color w:val="202124"/>
          <w:sz w:val="18"/>
          <w:szCs w:val="18"/>
          <w:shd w:val="clear" w:color="auto" w:fill="F8F9FA"/>
        </w:rPr>
        <w:t>OptimisticScenarioof</w:t>
      </w:r>
      <w:proofErr w:type="spellEnd"/>
      <w:r>
        <w:rPr>
          <w:rFonts w:ascii="Tahoma" w:eastAsia="Tahoma" w:hAnsi="Tahoma" w:cs="Tahoma"/>
          <w:i/>
          <w:color w:val="202124"/>
          <w:sz w:val="18"/>
          <w:szCs w:val="18"/>
          <w:shd w:val="clear" w:color="auto" w:fill="F8F9FA"/>
        </w:rPr>
        <w:t xml:space="preserve"> 0.50 m </w:t>
      </w:r>
      <w:proofErr w:type="spellStart"/>
      <w:r>
        <w:rPr>
          <w:rFonts w:ascii="Tahoma" w:eastAsia="Tahoma" w:hAnsi="Tahoma" w:cs="Tahoma"/>
          <w:i/>
          <w:color w:val="202124"/>
          <w:sz w:val="18"/>
          <w:szCs w:val="18"/>
          <w:shd w:val="clear" w:color="auto" w:fill="F8F9FA"/>
        </w:rPr>
        <w:t>MeanSeaLevelRiseandPossible</w:t>
      </w:r>
      <w:proofErr w:type="spellEnd"/>
      <w:r>
        <w:rPr>
          <w:rFonts w:ascii="Tahoma" w:eastAsia="Tahoma" w:hAnsi="Tahoma" w:cs="Tahoma"/>
          <w:i/>
          <w:color w:val="202124"/>
          <w:sz w:val="18"/>
          <w:szCs w:val="18"/>
          <w:shd w:val="clear" w:color="auto" w:fill="F8F9FA"/>
        </w:rPr>
        <w:t xml:space="preserve"> </w:t>
      </w:r>
      <w:proofErr w:type="spellStart"/>
      <w:r>
        <w:rPr>
          <w:rFonts w:ascii="Tahoma" w:eastAsia="Tahoma" w:hAnsi="Tahoma" w:cs="Tahoma"/>
          <w:i/>
          <w:color w:val="202124"/>
          <w:sz w:val="18"/>
          <w:szCs w:val="18"/>
          <w:shd w:val="clear" w:color="auto" w:fill="F8F9FA"/>
        </w:rPr>
        <w:t>Environmental</w:t>
      </w:r>
      <w:proofErr w:type="spellEnd"/>
      <w:r>
        <w:rPr>
          <w:rFonts w:ascii="Tahoma" w:eastAsia="Tahoma" w:hAnsi="Tahoma" w:cs="Tahoma"/>
          <w:i/>
          <w:color w:val="202124"/>
          <w:sz w:val="18"/>
          <w:szCs w:val="18"/>
          <w:shd w:val="clear" w:color="auto" w:fill="F8F9FA"/>
        </w:rPr>
        <w:t xml:space="preserve"> </w:t>
      </w:r>
      <w:proofErr w:type="spellStart"/>
      <w:r>
        <w:rPr>
          <w:rFonts w:ascii="Tahoma" w:eastAsia="Tahoma" w:hAnsi="Tahoma" w:cs="Tahoma"/>
          <w:i/>
          <w:color w:val="202124"/>
          <w:sz w:val="18"/>
          <w:szCs w:val="18"/>
          <w:shd w:val="clear" w:color="auto" w:fill="F8F9FA"/>
        </w:rPr>
        <w:t>Impacts</w:t>
      </w:r>
      <w:proofErr w:type="spellEnd"/>
      <w:r>
        <w:rPr>
          <w:rFonts w:ascii="Tahoma" w:eastAsia="Tahoma" w:hAnsi="Tahoma" w:cs="Tahoma"/>
          <w:i/>
          <w:color w:val="202124"/>
          <w:sz w:val="18"/>
          <w:szCs w:val="18"/>
          <w:shd w:val="clear" w:color="auto" w:fill="F8F9FA"/>
        </w:rPr>
        <w:t xml:space="preserve">, </w:t>
      </w:r>
      <w:proofErr w:type="spellStart"/>
      <w:r>
        <w:rPr>
          <w:rFonts w:ascii="Tahoma" w:eastAsia="Tahoma" w:hAnsi="Tahoma" w:cs="Tahoma"/>
          <w:i/>
          <w:color w:val="202124"/>
          <w:sz w:val="18"/>
          <w:szCs w:val="18"/>
          <w:shd w:val="clear" w:color="auto" w:fill="F8F9FA"/>
        </w:rPr>
        <w:t>ResultingfromTidalVariations</w:t>
      </w:r>
      <w:proofErr w:type="spellEnd"/>
      <w:r>
        <w:rPr>
          <w:rFonts w:ascii="Tahoma" w:eastAsia="Tahoma" w:hAnsi="Tahoma" w:cs="Tahoma"/>
          <w:i/>
          <w:color w:val="202124"/>
          <w:sz w:val="18"/>
          <w:szCs w:val="18"/>
          <w:shd w:val="clear" w:color="auto" w:fill="F8F9FA"/>
        </w:rPr>
        <w:t xml:space="preserve">, in </w:t>
      </w:r>
      <w:proofErr w:type="spellStart"/>
      <w:r>
        <w:rPr>
          <w:rFonts w:ascii="Tahoma" w:eastAsia="Tahoma" w:hAnsi="Tahoma" w:cs="Tahoma"/>
          <w:i/>
          <w:color w:val="202124"/>
          <w:sz w:val="18"/>
          <w:szCs w:val="18"/>
          <w:shd w:val="clear" w:color="auto" w:fill="F8F9FA"/>
        </w:rPr>
        <w:t>the</w:t>
      </w:r>
      <w:proofErr w:type="spellEnd"/>
      <w:r>
        <w:rPr>
          <w:rFonts w:ascii="Tahoma" w:eastAsia="Tahoma" w:hAnsi="Tahoma" w:cs="Tahoma"/>
          <w:i/>
          <w:color w:val="202124"/>
          <w:sz w:val="18"/>
          <w:szCs w:val="18"/>
          <w:shd w:val="clear" w:color="auto" w:fill="F8F9FA"/>
        </w:rPr>
        <w:t xml:space="preserve"> City </w:t>
      </w:r>
      <w:proofErr w:type="spellStart"/>
      <w:r>
        <w:rPr>
          <w:rFonts w:ascii="Tahoma" w:eastAsia="Tahoma" w:hAnsi="Tahoma" w:cs="Tahoma"/>
          <w:i/>
          <w:color w:val="202124"/>
          <w:sz w:val="18"/>
          <w:szCs w:val="18"/>
          <w:shd w:val="clear" w:color="auto" w:fill="F8F9FA"/>
        </w:rPr>
        <w:t>of</w:t>
      </w:r>
      <w:proofErr w:type="spellEnd"/>
      <w:r>
        <w:rPr>
          <w:rFonts w:ascii="Tahoma" w:eastAsia="Tahoma" w:hAnsi="Tahoma" w:cs="Tahoma"/>
          <w:i/>
          <w:color w:val="202124"/>
          <w:sz w:val="18"/>
          <w:szCs w:val="18"/>
          <w:shd w:val="clear" w:color="auto" w:fill="F8F9FA"/>
        </w:rPr>
        <w:t xml:space="preserve"> Niterói, Rio de </w:t>
      </w:r>
      <w:proofErr w:type="spellStart"/>
      <w:r>
        <w:rPr>
          <w:rFonts w:ascii="Tahoma" w:eastAsia="Tahoma" w:hAnsi="Tahoma" w:cs="Tahoma"/>
          <w:i/>
          <w:color w:val="202124"/>
          <w:sz w:val="18"/>
          <w:szCs w:val="18"/>
          <w:shd w:val="clear" w:color="auto" w:fill="F8F9FA"/>
        </w:rPr>
        <w:t>Janeiro—Brazil</w:t>
      </w:r>
      <w:proofErr w:type="spellEnd"/>
      <w:r>
        <w:rPr>
          <w:rFonts w:ascii="Tahoma" w:eastAsia="Tahoma" w:hAnsi="Tahoma" w:cs="Tahoma"/>
          <w:color w:val="202124"/>
          <w:sz w:val="18"/>
          <w:szCs w:val="18"/>
          <w:shd w:val="clear" w:color="auto" w:fill="F8F9FA"/>
          <w:vertAlign w:val="superscript"/>
        </w:rPr>
        <w:footnoteReference w:id="4"/>
      </w:r>
      <w:r>
        <w:rPr>
          <w:rFonts w:ascii="Tahoma" w:eastAsia="Tahoma" w:hAnsi="Tahoma" w:cs="Tahoma"/>
          <w:i/>
          <w:color w:val="202124"/>
          <w:sz w:val="18"/>
          <w:szCs w:val="18"/>
          <w:shd w:val="clear" w:color="auto" w:fill="F8F9FA"/>
        </w:rPr>
        <w:t>.</w:t>
      </w:r>
      <w:r>
        <w:rPr>
          <w:rFonts w:ascii="Tahoma" w:eastAsia="Tahoma" w:hAnsi="Tahoma" w:cs="Tahoma"/>
          <w:color w:val="202124"/>
          <w:sz w:val="18"/>
          <w:szCs w:val="18"/>
          <w:shd w:val="clear" w:color="auto" w:fill="F8F9FA"/>
        </w:rPr>
        <w:t xml:space="preserve"> Estudo apresentado no Fórum do Clima, organizado pela SECLIMA em Agosto de 2023.</w:t>
      </w:r>
    </w:p>
    <w:p w:rsidR="007049E0" w:rsidRDefault="007049E0">
      <w:pPr>
        <w:spacing w:line="360" w:lineRule="auto"/>
        <w:jc w:val="center"/>
        <w:rPr>
          <w:rFonts w:ascii="Tahoma" w:eastAsia="Tahoma" w:hAnsi="Tahoma" w:cs="Tahoma"/>
          <w:sz w:val="22"/>
          <w:szCs w:val="22"/>
        </w:rPr>
      </w:pPr>
    </w:p>
    <w:p w:rsidR="007049E0" w:rsidRDefault="005B63BD">
      <w:pPr>
        <w:jc w:val="center"/>
        <w:rPr>
          <w:rFonts w:ascii="Tahoma" w:eastAsia="Tahoma" w:hAnsi="Tahoma" w:cs="Tahoma"/>
          <w:sz w:val="22"/>
          <w:szCs w:val="22"/>
        </w:rPr>
      </w:pPr>
      <w:r>
        <w:rPr>
          <w:rFonts w:ascii="Tahoma" w:eastAsia="Tahoma" w:hAnsi="Tahoma" w:cs="Tahoma"/>
          <w:noProof/>
          <w:sz w:val="22"/>
          <w:szCs w:val="22"/>
          <w:lang w:eastAsia="pt-BR"/>
        </w:rPr>
        <w:drawing>
          <wp:inline distT="114300" distB="114300" distL="114300" distR="114300">
            <wp:extent cx="6473515" cy="2832100"/>
            <wp:effectExtent l="0" t="0" r="0" b="0"/>
            <wp:docPr id="2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7" cstate="print"/>
                    <a:srcRect/>
                    <a:stretch>
                      <a:fillRect/>
                    </a:stretch>
                  </pic:blipFill>
                  <pic:spPr>
                    <a:xfrm>
                      <a:off x="0" y="0"/>
                      <a:ext cx="6473515" cy="2832100"/>
                    </a:xfrm>
                    <a:prstGeom prst="rect">
                      <a:avLst/>
                    </a:prstGeom>
                    <a:ln/>
                  </pic:spPr>
                </pic:pic>
              </a:graphicData>
            </a:graphic>
          </wp:inline>
        </w:drawing>
      </w:r>
    </w:p>
    <w:p w:rsidR="007049E0" w:rsidRDefault="005B63BD">
      <w:pPr>
        <w:jc w:val="center"/>
        <w:rPr>
          <w:rFonts w:ascii="Tahoma" w:eastAsia="Tahoma" w:hAnsi="Tahoma" w:cs="Tahoma"/>
          <w:sz w:val="18"/>
          <w:szCs w:val="18"/>
        </w:rPr>
      </w:pPr>
      <w:r>
        <w:rPr>
          <w:rFonts w:ascii="Tahoma" w:eastAsia="Tahoma" w:hAnsi="Tahoma" w:cs="Tahoma"/>
          <w:sz w:val="18"/>
          <w:szCs w:val="18"/>
        </w:rPr>
        <w:t xml:space="preserve">Imagem mostrando comparação de resultados a longo prazo para aumento do nível do mar entre diferentes cenários de aumento de temperatura para o entorno da Lagoa de Itaipu. Fonte: </w:t>
      </w:r>
      <w:proofErr w:type="spellStart"/>
      <w:r>
        <w:rPr>
          <w:rFonts w:ascii="Tahoma" w:eastAsia="Tahoma" w:hAnsi="Tahoma" w:cs="Tahoma"/>
          <w:sz w:val="18"/>
          <w:szCs w:val="18"/>
        </w:rPr>
        <w:t>Climate</w:t>
      </w:r>
      <w:proofErr w:type="spellEnd"/>
      <w:r>
        <w:rPr>
          <w:rFonts w:ascii="Tahoma" w:eastAsia="Tahoma" w:hAnsi="Tahoma" w:cs="Tahoma"/>
          <w:sz w:val="18"/>
          <w:szCs w:val="18"/>
        </w:rPr>
        <w:t xml:space="preserve"> Central. Imagem gerada em 25/01/2024</w:t>
      </w:r>
      <w:r>
        <w:rPr>
          <w:rFonts w:ascii="Tahoma" w:eastAsia="Tahoma" w:hAnsi="Tahoma" w:cs="Tahoma"/>
          <w:sz w:val="18"/>
          <w:szCs w:val="18"/>
          <w:vertAlign w:val="superscript"/>
        </w:rPr>
        <w:footnoteReference w:id="5"/>
      </w:r>
    </w:p>
    <w:p w:rsidR="007049E0" w:rsidRDefault="007049E0">
      <w:pPr>
        <w:spacing w:line="360" w:lineRule="auto"/>
        <w:jc w:val="center"/>
        <w:rPr>
          <w:rFonts w:ascii="Tahoma" w:eastAsia="Tahoma" w:hAnsi="Tahoma" w:cs="Tahoma"/>
          <w:sz w:val="18"/>
          <w:szCs w:val="18"/>
        </w:rPr>
      </w:pPr>
    </w:p>
    <w:p w:rsidR="007049E0" w:rsidRDefault="005B63BD">
      <w:pPr>
        <w:jc w:val="center"/>
        <w:rPr>
          <w:rFonts w:ascii="Tahoma" w:eastAsia="Tahoma" w:hAnsi="Tahoma" w:cs="Tahoma"/>
          <w:sz w:val="18"/>
          <w:szCs w:val="18"/>
        </w:rPr>
      </w:pPr>
      <w:r>
        <w:rPr>
          <w:rFonts w:ascii="Tahoma" w:eastAsia="Tahoma" w:hAnsi="Tahoma" w:cs="Tahoma"/>
          <w:noProof/>
          <w:sz w:val="18"/>
          <w:szCs w:val="18"/>
          <w:lang w:eastAsia="pt-BR"/>
        </w:rPr>
        <w:drawing>
          <wp:inline distT="114300" distB="114300" distL="114300" distR="114300">
            <wp:extent cx="6473515" cy="2819400"/>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8" cstate="print"/>
                    <a:srcRect/>
                    <a:stretch>
                      <a:fillRect/>
                    </a:stretch>
                  </pic:blipFill>
                  <pic:spPr>
                    <a:xfrm>
                      <a:off x="0" y="0"/>
                      <a:ext cx="6473515" cy="2819400"/>
                    </a:xfrm>
                    <a:prstGeom prst="rect">
                      <a:avLst/>
                    </a:prstGeom>
                    <a:ln/>
                  </pic:spPr>
                </pic:pic>
              </a:graphicData>
            </a:graphic>
          </wp:inline>
        </w:drawing>
      </w:r>
    </w:p>
    <w:p w:rsidR="00D12B6F" w:rsidRDefault="005B63BD" w:rsidP="002C4B11">
      <w:pPr>
        <w:jc w:val="center"/>
        <w:rPr>
          <w:rFonts w:ascii="Tahoma" w:eastAsia="Tahoma" w:hAnsi="Tahoma" w:cs="Tahoma"/>
          <w:sz w:val="18"/>
          <w:szCs w:val="18"/>
        </w:rPr>
      </w:pPr>
      <w:r>
        <w:rPr>
          <w:rFonts w:ascii="Tahoma" w:eastAsia="Tahoma" w:hAnsi="Tahoma" w:cs="Tahoma"/>
          <w:sz w:val="18"/>
          <w:szCs w:val="18"/>
        </w:rPr>
        <w:t xml:space="preserve">Imagem mostrando comparação de resultados a longo prazo para aumento do nível do mar entre diferentes cenários de aumento de temperatura para o entorno da Lagoa de Piratininga. Fonte: </w:t>
      </w:r>
      <w:proofErr w:type="spellStart"/>
      <w:r>
        <w:rPr>
          <w:rFonts w:ascii="Tahoma" w:eastAsia="Tahoma" w:hAnsi="Tahoma" w:cs="Tahoma"/>
          <w:sz w:val="18"/>
          <w:szCs w:val="18"/>
        </w:rPr>
        <w:t>Climate</w:t>
      </w:r>
      <w:proofErr w:type="spellEnd"/>
      <w:r>
        <w:rPr>
          <w:rFonts w:ascii="Tahoma" w:eastAsia="Tahoma" w:hAnsi="Tahoma" w:cs="Tahoma"/>
          <w:sz w:val="18"/>
          <w:szCs w:val="18"/>
        </w:rPr>
        <w:t xml:space="preserve"> Central. Imagem gerada em 25/01/2024</w:t>
      </w:r>
    </w:p>
    <w:p w:rsidR="002C4B11" w:rsidRDefault="002C4B11" w:rsidP="002C4B11">
      <w:pPr>
        <w:jc w:val="center"/>
        <w:rPr>
          <w:rFonts w:ascii="Tahoma" w:eastAsia="Tahoma" w:hAnsi="Tahoma" w:cs="Tahoma"/>
          <w:sz w:val="22"/>
          <w:szCs w:val="22"/>
        </w:rPr>
      </w:pPr>
    </w:p>
    <w:p w:rsidR="00D12B6F" w:rsidRDefault="00D12B6F">
      <w:pPr>
        <w:spacing w:line="360" w:lineRule="auto"/>
        <w:jc w:val="both"/>
        <w:rPr>
          <w:rFonts w:ascii="Tahoma" w:eastAsia="Tahoma" w:hAnsi="Tahoma" w:cs="Tahoma"/>
          <w:sz w:val="22"/>
          <w:szCs w:val="22"/>
        </w:rPr>
      </w:pPr>
    </w:p>
    <w:p w:rsidR="00D12B6F" w:rsidRDefault="00D12B6F">
      <w:pPr>
        <w:spacing w:line="360" w:lineRule="auto"/>
        <w:jc w:val="both"/>
        <w:rPr>
          <w:rFonts w:ascii="Tahoma" w:eastAsia="Tahoma" w:hAnsi="Tahoma" w:cs="Tahoma"/>
          <w:sz w:val="22"/>
          <w:szCs w:val="22"/>
        </w:rPr>
      </w:pPr>
    </w:p>
    <w:p w:rsidR="007049E0" w:rsidRPr="002C4B11" w:rsidRDefault="00D12B6F"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lastRenderedPageBreak/>
        <w:t xml:space="preserve">O </w:t>
      </w:r>
      <w:r w:rsidR="005B63BD" w:rsidRPr="002C4B11">
        <w:rPr>
          <w:rFonts w:ascii="Tahoma" w:eastAsia="Tahoma" w:hAnsi="Tahoma" w:cs="Tahoma"/>
          <w:b/>
          <w:sz w:val="22"/>
          <w:szCs w:val="22"/>
        </w:rPr>
        <w:t>intenso processo de urbanização</w:t>
      </w:r>
      <w:r w:rsidR="005B63BD" w:rsidRPr="002C4B11">
        <w:rPr>
          <w:rFonts w:ascii="Tahoma" w:eastAsia="Tahoma" w:hAnsi="Tahoma" w:cs="Tahoma"/>
          <w:sz w:val="22"/>
          <w:szCs w:val="22"/>
        </w:rPr>
        <w:t xml:space="preserve"> ao longo das últimas décadas promoveu incremento das densidades populacionais na região e maior demanda de construção de residências. Este </w:t>
      </w:r>
      <w:r w:rsidR="005B63BD" w:rsidRPr="002C4B11">
        <w:rPr>
          <w:rFonts w:ascii="Tahoma" w:eastAsia="Tahoma" w:hAnsi="Tahoma" w:cs="Tahoma"/>
          <w:b/>
          <w:sz w:val="22"/>
          <w:szCs w:val="22"/>
        </w:rPr>
        <w:t>incremento populacional</w:t>
      </w:r>
      <w:r w:rsidR="005B63BD" w:rsidRPr="002C4B11">
        <w:rPr>
          <w:rFonts w:ascii="Tahoma" w:eastAsia="Tahoma" w:hAnsi="Tahoma" w:cs="Tahoma"/>
          <w:sz w:val="22"/>
          <w:szCs w:val="22"/>
        </w:rPr>
        <w:t xml:space="preserve"> foi caracterizado principalmente pela </w:t>
      </w:r>
      <w:r w:rsidR="005B63BD" w:rsidRPr="002C4B11">
        <w:rPr>
          <w:rFonts w:ascii="Tahoma" w:eastAsia="Tahoma" w:hAnsi="Tahoma" w:cs="Tahoma"/>
          <w:b/>
          <w:sz w:val="22"/>
          <w:szCs w:val="22"/>
        </w:rPr>
        <w:t>ocupação em condições precárias de infraestrutura sanitária</w:t>
      </w:r>
      <w:r w:rsidR="005B63BD" w:rsidRPr="002C4B11">
        <w:rPr>
          <w:rFonts w:ascii="Tahoma" w:eastAsia="Tahoma" w:hAnsi="Tahoma" w:cs="Tahoma"/>
          <w:sz w:val="22"/>
          <w:szCs w:val="22"/>
        </w:rPr>
        <w:t xml:space="preserve">, ocasionando despejos </w:t>
      </w:r>
      <w:r w:rsidRPr="002C4B11">
        <w:rPr>
          <w:rFonts w:ascii="Tahoma" w:eastAsia="Tahoma" w:hAnsi="Tahoma" w:cs="Tahoma"/>
          <w:sz w:val="22"/>
          <w:szCs w:val="22"/>
        </w:rPr>
        <w:t xml:space="preserve">de esgoto sanitário in natura, </w:t>
      </w:r>
      <w:r w:rsidR="005B63BD" w:rsidRPr="002C4B11">
        <w:rPr>
          <w:rFonts w:ascii="Tahoma" w:eastAsia="Tahoma" w:hAnsi="Tahoma" w:cs="Tahoma"/>
          <w:sz w:val="22"/>
          <w:szCs w:val="22"/>
        </w:rPr>
        <w:t xml:space="preserve">desmatamento das matas ciliares e </w:t>
      </w:r>
      <w:r w:rsidRPr="002C4B11">
        <w:rPr>
          <w:rFonts w:ascii="Tahoma" w:eastAsia="Tahoma" w:hAnsi="Tahoma" w:cs="Tahoma"/>
          <w:sz w:val="22"/>
          <w:szCs w:val="22"/>
        </w:rPr>
        <w:t xml:space="preserve">a realização de </w:t>
      </w:r>
      <w:r w:rsidR="005B63BD" w:rsidRPr="002C4B11">
        <w:rPr>
          <w:rFonts w:ascii="Tahoma" w:eastAsia="Tahoma" w:hAnsi="Tahoma" w:cs="Tahoma"/>
          <w:sz w:val="22"/>
          <w:szCs w:val="22"/>
        </w:rPr>
        <w:t xml:space="preserve">aterros irregulares. Estas ações resultaram em </w:t>
      </w:r>
      <w:r w:rsidR="005B63BD" w:rsidRPr="002C4B11">
        <w:rPr>
          <w:rFonts w:ascii="Tahoma" w:eastAsia="Tahoma" w:hAnsi="Tahoma" w:cs="Tahoma"/>
          <w:b/>
          <w:sz w:val="22"/>
          <w:szCs w:val="22"/>
        </w:rPr>
        <w:t>mudanças negativas para a conservação do patrimônio arqueológico, cultural e paisagístico da região, pondo em risco a manutenção e conservação da biodiversidade local</w:t>
      </w:r>
      <w:r w:rsidR="005B63BD" w:rsidRPr="002C4B11">
        <w:rPr>
          <w:rFonts w:ascii="Tahoma" w:eastAsia="Tahoma" w:hAnsi="Tahoma" w:cs="Tahoma"/>
          <w:sz w:val="22"/>
          <w:szCs w:val="22"/>
        </w:rPr>
        <w:t>. Associadas a estas interferências já ocorridas, urge considerarmos, agora, o impacto que as mudanças climáticas poderão vir a produzir na região, tanto no aspecto ambiental, como social e patrimonial, uma vez que caberá ao erário público buscar resolução para as consequências que desde já são possíveis de antever.</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Assim, por tudo exposto acima, através do levantamento cronológico dos fenômenos urbanos manifestados no campo socioambiental, colocaremos agora em perspectiva, de forma abreviada, alguns dos principais dispositivos legais pertinentes à defesa da presente emenda.</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Em tempo, citamos a </w:t>
      </w:r>
      <w:r w:rsidRPr="002C4B11">
        <w:rPr>
          <w:rFonts w:ascii="Tahoma" w:eastAsia="Tahoma" w:hAnsi="Tahoma" w:cs="Tahoma"/>
          <w:b/>
          <w:sz w:val="22"/>
          <w:szCs w:val="22"/>
        </w:rPr>
        <w:t>Constituição Federal</w:t>
      </w:r>
      <w:r w:rsidRPr="002C4B11">
        <w:rPr>
          <w:rFonts w:ascii="Tahoma" w:eastAsia="Tahoma" w:hAnsi="Tahoma" w:cs="Tahoma"/>
          <w:sz w:val="22"/>
          <w:szCs w:val="22"/>
        </w:rPr>
        <w:t>, no que tange a distribuição de responsabilidades entre as esferas públicas:</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TÍTULO III – Da Organização do Estado</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CAPÍTULO II – Da União</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Art. 23. É competência comum da União, dos Estados, do Distrito Federal e dos Municípios: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I–zelar pela guarda da Constituição, das leis e das instituições democráticas e conservar o patrimônio público;</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III–</w:t>
      </w:r>
      <w:r w:rsidRPr="002C4B11">
        <w:rPr>
          <w:rFonts w:ascii="Tahoma" w:eastAsia="Tahoma" w:hAnsi="Tahoma" w:cs="Tahoma"/>
          <w:b/>
          <w:sz w:val="22"/>
          <w:szCs w:val="22"/>
        </w:rPr>
        <w:t>proteger os documentos, as obras e outros bens de valor histórico, artístico e cultural, os monumentos, as paisagens naturais notáveis e os sítios arqueológicos</w:t>
      </w:r>
      <w:r w:rsidRPr="002C4B11">
        <w:rPr>
          <w:rFonts w:ascii="Tahoma" w:eastAsia="Tahoma" w:hAnsi="Tahoma" w:cs="Tahoma"/>
          <w:sz w:val="22"/>
          <w:szCs w:val="22"/>
        </w:rPr>
        <w:t xml:space="preserve">;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VI–</w:t>
      </w:r>
      <w:r w:rsidRPr="002C4B11">
        <w:rPr>
          <w:rFonts w:ascii="Tahoma" w:eastAsia="Tahoma" w:hAnsi="Tahoma" w:cs="Tahoma"/>
          <w:b/>
          <w:sz w:val="22"/>
          <w:szCs w:val="22"/>
        </w:rPr>
        <w:t>proteger o meio ambiente e combater a poluição em qualquer de suas formas</w:t>
      </w:r>
      <w:r w:rsidRPr="002C4B11">
        <w:rPr>
          <w:rFonts w:ascii="Tahoma" w:eastAsia="Tahoma" w:hAnsi="Tahoma" w:cs="Tahoma"/>
          <w:sz w:val="22"/>
          <w:szCs w:val="22"/>
        </w:rPr>
        <w:t xml:space="preserve">;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VII–</w:t>
      </w:r>
      <w:r w:rsidRPr="002C4B11">
        <w:rPr>
          <w:rFonts w:ascii="Tahoma" w:eastAsia="Tahoma" w:hAnsi="Tahoma" w:cs="Tahoma"/>
          <w:b/>
          <w:sz w:val="22"/>
          <w:szCs w:val="22"/>
        </w:rPr>
        <w:t>preservar as florestas, a fauna e a flora</w:t>
      </w:r>
      <w:r w:rsidRPr="002C4B11">
        <w:rPr>
          <w:rFonts w:ascii="Tahoma" w:eastAsia="Tahoma" w:hAnsi="Tahoma" w:cs="Tahoma"/>
          <w:sz w:val="22"/>
          <w:szCs w:val="22"/>
        </w:rPr>
        <w:t>;</w:t>
      </w:r>
    </w:p>
    <w:p w:rsidR="007049E0"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2C4B11" w:rsidRPr="002C4B11" w:rsidRDefault="002C4B11"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lastRenderedPageBreak/>
        <w:t>Parágrafo único. Leis complementares fixarão normas para a cooperação entre a União e os Estados, o Distrito Federal e os Municípios, tendo em vista o equilíbrio do desenvolvimento e do bem-estar em âmbito nacional.</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CAPÍTULO III – Dos Estados Federados</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b/>
          <w:sz w:val="22"/>
          <w:szCs w:val="22"/>
        </w:rPr>
      </w:pPr>
      <w:r w:rsidRPr="002C4B11">
        <w:rPr>
          <w:rFonts w:ascii="Tahoma" w:eastAsia="Tahoma" w:hAnsi="Tahoma" w:cs="Tahoma"/>
          <w:sz w:val="22"/>
          <w:szCs w:val="22"/>
        </w:rPr>
        <w:t xml:space="preserve">Art. 26. </w:t>
      </w:r>
      <w:r w:rsidRPr="002C4B11">
        <w:rPr>
          <w:rFonts w:ascii="Tahoma" w:eastAsia="Tahoma" w:hAnsi="Tahoma" w:cs="Tahoma"/>
          <w:b/>
          <w:sz w:val="22"/>
          <w:szCs w:val="22"/>
        </w:rPr>
        <w:t xml:space="preserve">Incluem-se entre os bens dos Estados: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b/>
          <w:sz w:val="22"/>
          <w:szCs w:val="22"/>
        </w:rPr>
        <w:t>I–as águas superficiais ou subterrâneas</w:t>
      </w:r>
      <w:r w:rsidRPr="002C4B11">
        <w:rPr>
          <w:rFonts w:ascii="Tahoma" w:eastAsia="Tahoma" w:hAnsi="Tahoma" w:cs="Tahoma"/>
          <w:sz w:val="22"/>
          <w:szCs w:val="22"/>
        </w:rPr>
        <w:t>, fluentes, emergentes e em depósito, ressalvadas, neste caso, na forma da lei, as decorrentes de obras da União;</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CAPÍTULO IV – Dos Municípios</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Art. 30. Compete aos Municípios: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VIII–</w:t>
      </w:r>
      <w:r w:rsidRPr="002C4B11">
        <w:rPr>
          <w:rFonts w:ascii="Tahoma" w:eastAsia="Tahoma" w:hAnsi="Tahoma" w:cs="Tahoma"/>
          <w:b/>
          <w:sz w:val="22"/>
          <w:szCs w:val="22"/>
        </w:rPr>
        <w:t>promover, no que couber, adequado ordenamento territorial, mediante planejamento e controle do uso, do parcelamento e da ocupação do solo urbano</w:t>
      </w:r>
      <w:r w:rsidRPr="002C4B11">
        <w:rPr>
          <w:rFonts w:ascii="Tahoma" w:eastAsia="Tahoma" w:hAnsi="Tahoma" w:cs="Tahoma"/>
          <w:sz w:val="22"/>
          <w:szCs w:val="22"/>
        </w:rPr>
        <w:t>;</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CAPÍTULO VI – Do Meio Ambiente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Art. 225. </w:t>
      </w:r>
      <w:r w:rsidRPr="002C4B11">
        <w:rPr>
          <w:rFonts w:ascii="Tahoma" w:eastAsia="Tahoma" w:hAnsi="Tahoma" w:cs="Tahoma"/>
          <w:b/>
          <w:sz w:val="22"/>
          <w:szCs w:val="22"/>
        </w:rPr>
        <w:t>Todos têm direito ao meio ambiente ecologicamente equilibrado, bem de uso comum do povo e essencial à sadia qualidade de vida</w:t>
      </w:r>
      <w:r w:rsidRPr="002C4B11">
        <w:rPr>
          <w:rFonts w:ascii="Tahoma" w:eastAsia="Tahoma" w:hAnsi="Tahoma" w:cs="Tahoma"/>
          <w:sz w:val="22"/>
          <w:szCs w:val="22"/>
        </w:rPr>
        <w:t xml:space="preserve">, impondo-se ao Poder Público e à coletividade o dever de defendê-lo e preservá-lo para as presentes e futuras gerações.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 1o Para assegurar a efetividade desse direito, incumbe ao Poder Público: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I–</w:t>
      </w:r>
      <w:r w:rsidRPr="002C4B11">
        <w:rPr>
          <w:rFonts w:ascii="Tahoma" w:eastAsia="Tahoma" w:hAnsi="Tahoma" w:cs="Tahoma"/>
          <w:b/>
          <w:sz w:val="22"/>
          <w:szCs w:val="22"/>
        </w:rPr>
        <w:t>preservar e restaurar os processos ecológicos essenciais e prover o manejo ecológico das espécies e ecossistemas</w:t>
      </w: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IV – </w:t>
      </w:r>
      <w:r w:rsidRPr="002C4B11">
        <w:rPr>
          <w:rFonts w:ascii="Tahoma" w:eastAsia="Tahoma" w:hAnsi="Tahoma" w:cs="Tahoma"/>
          <w:b/>
          <w:sz w:val="22"/>
          <w:szCs w:val="22"/>
        </w:rPr>
        <w:t>exigir, na forma da lei</w:t>
      </w:r>
      <w:r w:rsidRPr="002C4B11">
        <w:rPr>
          <w:rFonts w:ascii="Tahoma" w:eastAsia="Tahoma" w:hAnsi="Tahoma" w:cs="Tahoma"/>
          <w:sz w:val="22"/>
          <w:szCs w:val="22"/>
        </w:rPr>
        <w:t xml:space="preserve">, para instalação de obra ou atividade potencialmente causadora de significativa degradação do meio ambiente, </w:t>
      </w:r>
      <w:r w:rsidRPr="002C4B11">
        <w:rPr>
          <w:rFonts w:ascii="Tahoma" w:eastAsia="Tahoma" w:hAnsi="Tahoma" w:cs="Tahoma"/>
          <w:b/>
          <w:sz w:val="22"/>
          <w:szCs w:val="22"/>
        </w:rPr>
        <w:t>estudo prévio de impacto ambiental</w:t>
      </w:r>
      <w:r w:rsidRPr="002C4B11">
        <w:rPr>
          <w:rFonts w:ascii="Tahoma" w:eastAsia="Tahoma" w:hAnsi="Tahoma" w:cs="Tahoma"/>
          <w:sz w:val="22"/>
          <w:szCs w:val="22"/>
        </w:rPr>
        <w:t>, a que se dará publicidade;</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VII–</w:t>
      </w:r>
      <w:r w:rsidRPr="002C4B11">
        <w:rPr>
          <w:rFonts w:ascii="Tahoma" w:eastAsia="Tahoma" w:hAnsi="Tahoma" w:cs="Tahoma"/>
          <w:b/>
          <w:sz w:val="22"/>
          <w:szCs w:val="22"/>
        </w:rPr>
        <w:t>proteger a fauna e a flora</w:t>
      </w:r>
      <w:r w:rsidRPr="002C4B11">
        <w:rPr>
          <w:rFonts w:ascii="Tahoma" w:eastAsia="Tahoma" w:hAnsi="Tahoma" w:cs="Tahoma"/>
          <w:sz w:val="22"/>
          <w:szCs w:val="22"/>
        </w:rPr>
        <w:t>, vedadas, na forma da lei, as práticas que coloquem em risco sua função ecológica, provoquem a extinção de espécies ou submetam os animais à crueldade.</w:t>
      </w:r>
    </w:p>
    <w:p w:rsidR="007049E0"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w:t>
      </w:r>
    </w:p>
    <w:p w:rsidR="002C4B11" w:rsidRPr="002C4B11" w:rsidRDefault="002C4B11"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lastRenderedPageBreak/>
        <w:t xml:space="preserve">§ 3o </w:t>
      </w:r>
      <w:r w:rsidRPr="002C4B11">
        <w:rPr>
          <w:rFonts w:ascii="Tahoma" w:eastAsia="Tahoma" w:hAnsi="Tahoma" w:cs="Tahoma"/>
          <w:b/>
          <w:sz w:val="22"/>
          <w:szCs w:val="22"/>
        </w:rPr>
        <w:t>As condutas e atividades consideradas lesivas ao meio ambiente sujeitarão os infratores, pessoas físicas ou jurídicas, a sanções penais e administrativas, independentemente da obrigação de reparar os danos causados</w:t>
      </w:r>
      <w:r w:rsidRPr="002C4B11">
        <w:rPr>
          <w:rFonts w:ascii="Tahoma" w:eastAsia="Tahoma" w:hAnsi="Tahoma" w:cs="Tahoma"/>
          <w:sz w:val="22"/>
          <w:szCs w:val="22"/>
        </w:rPr>
        <w:t xml:space="preserve">. </w:t>
      </w: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 4o A Floresta Amazônica brasileira, a </w:t>
      </w:r>
      <w:r w:rsidRPr="002C4B11">
        <w:rPr>
          <w:rFonts w:ascii="Tahoma" w:eastAsia="Tahoma" w:hAnsi="Tahoma" w:cs="Tahoma"/>
          <w:b/>
          <w:sz w:val="22"/>
          <w:szCs w:val="22"/>
        </w:rPr>
        <w:t>Mata Atlântica</w:t>
      </w:r>
      <w:r w:rsidRPr="002C4B11">
        <w:rPr>
          <w:rFonts w:ascii="Tahoma" w:eastAsia="Tahoma" w:hAnsi="Tahoma" w:cs="Tahoma"/>
          <w:sz w:val="22"/>
          <w:szCs w:val="22"/>
        </w:rPr>
        <w:t xml:space="preserve">, a Serra do Mar, o Pantanal Mato-Grossense e a Zona Costeira são </w:t>
      </w:r>
      <w:r w:rsidRPr="002C4B11">
        <w:rPr>
          <w:rFonts w:ascii="Tahoma" w:eastAsia="Tahoma" w:hAnsi="Tahoma" w:cs="Tahoma"/>
          <w:b/>
          <w:sz w:val="22"/>
          <w:szCs w:val="22"/>
        </w:rPr>
        <w:t>patrimônio nacional</w:t>
      </w:r>
      <w:r w:rsidRPr="002C4B11">
        <w:rPr>
          <w:rFonts w:ascii="Tahoma" w:eastAsia="Tahoma" w:hAnsi="Tahoma" w:cs="Tahoma"/>
          <w:sz w:val="22"/>
          <w:szCs w:val="22"/>
        </w:rPr>
        <w:t>, e sua utilização far-se-á, na forma da lei, dentro de condições que assegurem a preservação do meio ambiente, inclusive quanto ao uso dos recursos naturais.</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Desta forma, entendemos que compete ao Município, do ponto de vista da preservação e manutenção do meio ambiente ecologicamente equilibrado, a preservação do</w:t>
      </w:r>
      <w:r w:rsidR="005E4954" w:rsidRPr="002C4B11">
        <w:rPr>
          <w:rFonts w:ascii="Tahoma" w:eastAsia="Tahoma" w:hAnsi="Tahoma" w:cs="Tahoma"/>
          <w:sz w:val="22"/>
          <w:szCs w:val="22"/>
        </w:rPr>
        <w:t>s corpos hídricos e seu entorno,</w:t>
      </w:r>
      <w:r w:rsidRPr="002C4B11">
        <w:rPr>
          <w:rFonts w:ascii="Tahoma" w:eastAsia="Tahoma" w:hAnsi="Tahoma" w:cs="Tahoma"/>
          <w:sz w:val="22"/>
          <w:szCs w:val="22"/>
        </w:rPr>
        <w:t xml:space="preserve"> os remanescentes da Mata Atlântica, principalmente o sistema da lagunar de Piratininga-Itaipu e os morros nos arredores que abrigam os recursos hídricos que deságuam no sistema lagunar Piratininga-Itaipu, bem como a fauna e flora local por sua prestação de serviços ambientais </w:t>
      </w:r>
      <w:r w:rsidR="005E4954" w:rsidRPr="002C4B11">
        <w:rPr>
          <w:rFonts w:ascii="Tahoma" w:eastAsia="Tahoma" w:hAnsi="Tahoma" w:cs="Tahoma"/>
          <w:sz w:val="22"/>
          <w:szCs w:val="22"/>
        </w:rPr>
        <w:t>colaborando</w:t>
      </w:r>
      <w:r w:rsidRPr="002C4B11">
        <w:rPr>
          <w:rFonts w:ascii="Tahoma" w:eastAsia="Tahoma" w:hAnsi="Tahoma" w:cs="Tahoma"/>
          <w:sz w:val="22"/>
          <w:szCs w:val="22"/>
        </w:rPr>
        <w:t xml:space="preserve"> à manutenção do ecossistema local</w:t>
      </w:r>
      <w:r w:rsidR="005E4954" w:rsidRPr="002C4B11">
        <w:rPr>
          <w:rFonts w:ascii="Tahoma" w:eastAsia="Tahoma" w:hAnsi="Tahoma" w:cs="Tahoma"/>
          <w:sz w:val="22"/>
          <w:szCs w:val="22"/>
        </w:rPr>
        <w:t>.C</w:t>
      </w:r>
      <w:r w:rsidRPr="002C4B11">
        <w:rPr>
          <w:rFonts w:ascii="Tahoma" w:eastAsia="Tahoma" w:hAnsi="Tahoma" w:cs="Tahoma"/>
          <w:sz w:val="22"/>
          <w:szCs w:val="22"/>
        </w:rPr>
        <w:t xml:space="preserve">ompete ao Município a preservação </w:t>
      </w:r>
      <w:r w:rsidR="005E4954" w:rsidRPr="002C4B11">
        <w:rPr>
          <w:rFonts w:ascii="Tahoma" w:eastAsia="Tahoma" w:hAnsi="Tahoma" w:cs="Tahoma"/>
          <w:sz w:val="22"/>
          <w:szCs w:val="22"/>
        </w:rPr>
        <w:t>d</w:t>
      </w:r>
      <w:r w:rsidRPr="002C4B11">
        <w:rPr>
          <w:rFonts w:ascii="Tahoma" w:eastAsia="Tahoma" w:hAnsi="Tahoma" w:cs="Tahoma"/>
          <w:sz w:val="22"/>
          <w:szCs w:val="22"/>
        </w:rPr>
        <w:t>o supracitado sistema lagunar, também, do ponto de vista de sua relevância na cultura local de povos tradicionais, como os pescadores, e</w:t>
      </w:r>
      <w:r w:rsidR="005E4954" w:rsidRPr="002C4B11">
        <w:rPr>
          <w:rFonts w:ascii="Tahoma" w:eastAsia="Tahoma" w:hAnsi="Tahoma" w:cs="Tahoma"/>
          <w:sz w:val="22"/>
          <w:szCs w:val="22"/>
        </w:rPr>
        <w:t xml:space="preserve">, ainda, </w:t>
      </w:r>
      <w:r w:rsidR="002C4B11" w:rsidRPr="002C4B11">
        <w:rPr>
          <w:rFonts w:ascii="Tahoma" w:eastAsia="Tahoma" w:hAnsi="Tahoma" w:cs="Tahoma"/>
          <w:sz w:val="22"/>
          <w:szCs w:val="22"/>
        </w:rPr>
        <w:t>entendemos ser de</w:t>
      </w:r>
      <w:r w:rsidR="005E4954" w:rsidRPr="002C4B11">
        <w:rPr>
          <w:rFonts w:ascii="Tahoma" w:eastAsia="Tahoma" w:hAnsi="Tahoma" w:cs="Tahoma"/>
          <w:sz w:val="22"/>
          <w:szCs w:val="22"/>
        </w:rPr>
        <w:t xml:space="preserve"> competência do município preservar o sistema </w:t>
      </w:r>
      <w:proofErr w:type="spellStart"/>
      <w:r w:rsidR="005E4954" w:rsidRPr="002C4B11">
        <w:rPr>
          <w:rFonts w:ascii="Tahoma" w:eastAsia="Tahoma" w:hAnsi="Tahoma" w:cs="Tahoma"/>
          <w:sz w:val="22"/>
          <w:szCs w:val="22"/>
        </w:rPr>
        <w:t>lagunar</w:t>
      </w:r>
      <w:proofErr w:type="spellEnd"/>
      <w:r w:rsidR="005E4954" w:rsidRPr="002C4B11">
        <w:rPr>
          <w:rFonts w:ascii="Tahoma" w:eastAsia="Tahoma" w:hAnsi="Tahoma" w:cs="Tahoma"/>
          <w:sz w:val="22"/>
          <w:szCs w:val="22"/>
        </w:rPr>
        <w:t xml:space="preserve"> </w:t>
      </w:r>
      <w:proofErr w:type="spellStart"/>
      <w:r w:rsidR="005E4954" w:rsidRPr="002C4B11">
        <w:rPr>
          <w:rFonts w:ascii="Tahoma" w:eastAsia="Tahoma" w:hAnsi="Tahoma" w:cs="Tahoma"/>
          <w:sz w:val="22"/>
          <w:szCs w:val="22"/>
        </w:rPr>
        <w:t>Piratininga-Itaipú</w:t>
      </w:r>
      <w:proofErr w:type="spellEnd"/>
      <w:r w:rsidR="002C4B11" w:rsidRPr="002C4B11">
        <w:rPr>
          <w:rFonts w:ascii="Tahoma" w:eastAsia="Tahoma" w:hAnsi="Tahoma" w:cs="Tahoma"/>
          <w:sz w:val="22"/>
          <w:szCs w:val="22"/>
        </w:rPr>
        <w:t xml:space="preserve"> e sua ambiência</w:t>
      </w:r>
      <w:r w:rsidRPr="002C4B11">
        <w:rPr>
          <w:rFonts w:ascii="Tahoma" w:eastAsia="Tahoma" w:hAnsi="Tahoma" w:cs="Tahoma"/>
          <w:sz w:val="22"/>
          <w:szCs w:val="22"/>
        </w:rPr>
        <w:t xml:space="preserve"> por sua notável beleza paisagística.</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Reiteramos a necessidade de observar o </w:t>
      </w:r>
      <w:r w:rsidRPr="002C4B11">
        <w:rPr>
          <w:rFonts w:ascii="Tahoma" w:eastAsia="Tahoma" w:hAnsi="Tahoma" w:cs="Tahoma"/>
          <w:b/>
          <w:sz w:val="22"/>
          <w:szCs w:val="22"/>
        </w:rPr>
        <w:t>Código das Águas</w:t>
      </w:r>
      <w:r w:rsidRPr="002C4B11">
        <w:rPr>
          <w:rFonts w:ascii="Tahoma" w:eastAsia="Tahoma" w:hAnsi="Tahoma" w:cs="Tahoma"/>
          <w:sz w:val="22"/>
          <w:szCs w:val="22"/>
        </w:rPr>
        <w:t xml:space="preserve"> (Decreto Lei 24643/1934); a </w:t>
      </w:r>
      <w:r w:rsidRPr="002C4B11">
        <w:rPr>
          <w:rFonts w:ascii="Tahoma" w:eastAsia="Tahoma" w:hAnsi="Tahoma" w:cs="Tahoma"/>
          <w:b/>
          <w:sz w:val="22"/>
          <w:szCs w:val="22"/>
        </w:rPr>
        <w:t>Política Nacional de Recursos Hídricos</w:t>
      </w:r>
      <w:r w:rsidRPr="002C4B11">
        <w:rPr>
          <w:rFonts w:ascii="Tahoma" w:eastAsia="Tahoma" w:hAnsi="Tahoma" w:cs="Tahoma"/>
          <w:sz w:val="22"/>
          <w:szCs w:val="22"/>
        </w:rPr>
        <w:t xml:space="preserve"> (Lei 9433/1997); assim como:</w:t>
      </w:r>
    </w:p>
    <w:p w:rsidR="007049E0" w:rsidRPr="002C4B11" w:rsidRDefault="007049E0" w:rsidP="002C4B11">
      <w:pPr>
        <w:spacing w:line="360" w:lineRule="auto"/>
        <w:jc w:val="both"/>
        <w:rPr>
          <w:rFonts w:ascii="Tahoma" w:eastAsia="Tahoma" w:hAnsi="Tahoma" w:cs="Tahoma"/>
          <w:sz w:val="22"/>
          <w:szCs w:val="22"/>
        </w:rPr>
      </w:pPr>
    </w:p>
    <w:p w:rsidR="007049E0" w:rsidRPr="002C4B11" w:rsidRDefault="005B63BD" w:rsidP="002C4B11">
      <w:pPr>
        <w:spacing w:line="360" w:lineRule="auto"/>
        <w:jc w:val="both"/>
        <w:rPr>
          <w:rFonts w:ascii="Tahoma" w:eastAsia="Tahoma" w:hAnsi="Tahoma" w:cs="Tahoma"/>
          <w:sz w:val="22"/>
          <w:szCs w:val="22"/>
        </w:rPr>
      </w:pPr>
      <w:r w:rsidRPr="002C4B11">
        <w:rPr>
          <w:rFonts w:ascii="Tahoma" w:eastAsia="Tahoma" w:hAnsi="Tahoma" w:cs="Tahoma"/>
          <w:sz w:val="22"/>
          <w:szCs w:val="22"/>
        </w:rPr>
        <w:t xml:space="preserve">- O </w:t>
      </w:r>
      <w:r w:rsidRPr="002C4B11">
        <w:rPr>
          <w:rFonts w:ascii="Tahoma" w:eastAsia="Tahoma" w:hAnsi="Tahoma" w:cs="Tahoma"/>
          <w:b/>
          <w:sz w:val="22"/>
          <w:szCs w:val="22"/>
        </w:rPr>
        <w:t xml:space="preserve">artigo 2º, inciso XVIII da </w:t>
      </w:r>
      <w:hyperlink r:id="rId29">
        <w:r w:rsidRPr="002C4B11">
          <w:rPr>
            <w:rFonts w:ascii="Tahoma" w:eastAsia="Tahoma" w:hAnsi="Tahoma" w:cs="Tahoma"/>
            <w:b/>
            <w:sz w:val="22"/>
            <w:szCs w:val="22"/>
          </w:rPr>
          <w:t xml:space="preserve">Lei do </w:t>
        </w:r>
      </w:hyperlink>
      <w:r w:rsidRPr="002C4B11">
        <w:rPr>
          <w:rFonts w:ascii="Tahoma" w:eastAsia="Tahoma" w:hAnsi="Tahoma" w:cs="Tahoma"/>
          <w:b/>
          <w:sz w:val="22"/>
          <w:szCs w:val="22"/>
          <w:highlight w:val="white"/>
        </w:rPr>
        <w:t>Sistema Nacional de Unidades de Conservação da Natureza</w:t>
      </w:r>
      <w:r w:rsidRPr="002C4B11">
        <w:rPr>
          <w:rFonts w:ascii="Tahoma" w:eastAsia="Tahoma" w:hAnsi="Tahoma" w:cs="Tahoma"/>
          <w:sz w:val="22"/>
          <w:szCs w:val="22"/>
        </w:rPr>
        <w:t xml:space="preserve"> (</w:t>
      </w:r>
      <w:hyperlink r:id="rId30">
        <w:r w:rsidRPr="002C4B11">
          <w:rPr>
            <w:rFonts w:ascii="Tahoma" w:eastAsia="Tahoma" w:hAnsi="Tahoma" w:cs="Tahoma"/>
            <w:sz w:val="22"/>
            <w:szCs w:val="22"/>
          </w:rPr>
          <w:t>Lei 9.985/2000</w:t>
        </w:r>
      </w:hyperlink>
      <w:r w:rsidR="00D12B6F" w:rsidRPr="002C4B11">
        <w:rPr>
          <w:rFonts w:ascii="Tahoma" w:eastAsia="Tahoma" w:hAnsi="Tahoma" w:cs="Tahoma"/>
          <w:sz w:val="22"/>
          <w:szCs w:val="22"/>
        </w:rPr>
        <w:t xml:space="preserve">), que a define como </w:t>
      </w:r>
      <w:r w:rsidR="00D12B6F" w:rsidRPr="002C4B11">
        <w:rPr>
          <w:rFonts w:ascii="Tahoma" w:eastAsia="Tahoma" w:hAnsi="Tahoma" w:cs="Tahoma"/>
          <w:b/>
          <w:sz w:val="22"/>
          <w:szCs w:val="22"/>
        </w:rPr>
        <w:t>Zona de Amortecimento</w:t>
      </w:r>
      <w:r w:rsidRPr="002C4B11">
        <w:rPr>
          <w:rFonts w:ascii="Tahoma" w:eastAsia="Tahoma" w:hAnsi="Tahoma" w:cs="Tahoma"/>
          <w:sz w:val="22"/>
          <w:szCs w:val="22"/>
        </w:rPr>
        <w:t xml:space="preserve"> “</w:t>
      </w:r>
      <w:r w:rsidR="00D12B6F" w:rsidRPr="002C4B11">
        <w:rPr>
          <w:rFonts w:ascii="Tahoma" w:eastAsia="Tahoma" w:hAnsi="Tahoma" w:cs="Tahoma"/>
          <w:sz w:val="22"/>
          <w:szCs w:val="22"/>
        </w:rPr>
        <w:t xml:space="preserve">o </w:t>
      </w:r>
      <w:r w:rsidRPr="002C4B11">
        <w:rPr>
          <w:rFonts w:ascii="Tahoma" w:eastAsia="Tahoma" w:hAnsi="Tahoma" w:cs="Tahoma"/>
          <w:sz w:val="22"/>
          <w:szCs w:val="22"/>
        </w:rPr>
        <w:t xml:space="preserve">entorno de uma Unidade de Conservação, onde as atividades humanas estão sujeitas a normas e restrições específicas, com o propósito de minimizar os impactos negativos sobre a unidade”. </w:t>
      </w:r>
      <w:r w:rsidRPr="002C4B11">
        <w:rPr>
          <w:rFonts w:ascii="Tahoma" w:eastAsia="Tahoma" w:hAnsi="Tahoma" w:cs="Tahoma"/>
          <w:b/>
          <w:sz w:val="22"/>
          <w:szCs w:val="22"/>
        </w:rPr>
        <w:t xml:space="preserve">As zonas de amortecimento não fazem parte das </w:t>
      </w:r>
      <w:proofErr w:type="spellStart"/>
      <w:r w:rsidRPr="002C4B11">
        <w:rPr>
          <w:rFonts w:ascii="Tahoma" w:eastAsia="Tahoma" w:hAnsi="Tahoma" w:cs="Tahoma"/>
          <w:b/>
          <w:sz w:val="22"/>
          <w:szCs w:val="22"/>
        </w:rPr>
        <w:t>UCs</w:t>
      </w:r>
      <w:proofErr w:type="spellEnd"/>
      <w:r w:rsidRPr="002C4B11">
        <w:rPr>
          <w:rFonts w:ascii="Tahoma" w:eastAsia="Tahoma" w:hAnsi="Tahoma" w:cs="Tahoma"/>
          <w:b/>
          <w:sz w:val="22"/>
          <w:szCs w:val="22"/>
        </w:rPr>
        <w:t xml:space="preserve"> mas, localizadas no seu entorno, têm a função de proteger sua periferia, ao criar uma área protetiva que não só as defende das atividades humanas, como também previnem a </w:t>
      </w:r>
      <w:hyperlink r:id="rId31">
        <w:r w:rsidRPr="002C4B11">
          <w:rPr>
            <w:rFonts w:ascii="Tahoma" w:eastAsia="Tahoma" w:hAnsi="Tahoma" w:cs="Tahoma"/>
            <w:b/>
            <w:sz w:val="22"/>
            <w:szCs w:val="22"/>
          </w:rPr>
          <w:t>fragmentação</w:t>
        </w:r>
      </w:hyperlink>
      <w:r w:rsidRPr="002C4B11">
        <w:rPr>
          <w:rFonts w:ascii="Tahoma" w:eastAsia="Tahoma" w:hAnsi="Tahoma" w:cs="Tahoma"/>
          <w:b/>
          <w:sz w:val="22"/>
          <w:szCs w:val="22"/>
        </w:rPr>
        <w:t>, principalmente, o efeito de borda</w:t>
      </w:r>
      <w:r w:rsidRPr="002C4B11">
        <w:rPr>
          <w:rFonts w:ascii="Tahoma" w:eastAsia="Tahoma" w:hAnsi="Tahoma" w:cs="Tahoma"/>
          <w:sz w:val="22"/>
          <w:szCs w:val="22"/>
        </w:rPr>
        <w:t>.</w:t>
      </w:r>
    </w:p>
    <w:p w:rsidR="007049E0" w:rsidRPr="002C4B11" w:rsidRDefault="007049E0" w:rsidP="002C4B11">
      <w:pPr>
        <w:spacing w:line="360" w:lineRule="auto"/>
        <w:jc w:val="both"/>
        <w:rPr>
          <w:rFonts w:ascii="Tahoma" w:eastAsia="Tahoma" w:hAnsi="Tahoma" w:cs="Tahoma"/>
          <w:sz w:val="22"/>
          <w:szCs w:val="22"/>
        </w:rPr>
      </w:pPr>
    </w:p>
    <w:p w:rsidR="0059422A" w:rsidRPr="002C4B11"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A borda da área protegida é uma área sensível a uma gama de efeitos degradadores, o que a torna mais vulnerável a quaisquer alterações físicas (maior penetração do sol e do vento), químicas (luminosidade e umidade do solo) e biológicas (mudanças na interação entre as espécies). Uma ocorrência comum nas </w:t>
      </w:r>
      <w:r w:rsidRPr="002C4B11">
        <w:rPr>
          <w:rFonts w:ascii="Tahoma" w:eastAsia="Tahoma" w:hAnsi="Tahoma" w:cs="Tahoma"/>
          <w:sz w:val="22"/>
          <w:szCs w:val="22"/>
        </w:rPr>
        <w:lastRenderedPageBreak/>
        <w:t>zonas limítrofes de áreas naturais, suas fronteiras acabam expostas e, por consequência, se tornam mais frágeis a condições que influenciam negativamente a estabilidade e o equilíbrio do ecossistema.</w:t>
      </w:r>
    </w:p>
    <w:p w:rsidR="002C4B11" w:rsidRPr="002C4B11" w:rsidRDefault="002C4B11"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p>
    <w:p w:rsidR="007049E0"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Não são apenas os fatores ecológicos que preocupam a vizinhança das unidades de conservação. Não medindo as consequências de suas ações, atividades humanas desenvolvidas proximamente à área protegida podem afetar significativamente os atributos da unidade. Assim é que </w:t>
      </w:r>
      <w:r w:rsidRPr="002C4B11">
        <w:rPr>
          <w:rFonts w:ascii="Tahoma" w:eastAsia="Tahoma" w:hAnsi="Tahoma" w:cs="Tahoma"/>
          <w:b/>
          <w:sz w:val="22"/>
          <w:szCs w:val="22"/>
        </w:rPr>
        <w:t>a simples criação de uma UC onde as restrições das atividades humanas fossem fixadas apenas dentro dos seus limites legais não seria suficiente para alcançar os objetivos da preservação</w:t>
      </w:r>
      <w:r w:rsidRPr="002C4B11">
        <w:rPr>
          <w:rFonts w:ascii="Tahoma" w:eastAsia="Tahoma" w:hAnsi="Tahoma" w:cs="Tahoma"/>
          <w:sz w:val="22"/>
          <w:szCs w:val="22"/>
        </w:rPr>
        <w:t>;</w:t>
      </w:r>
    </w:p>
    <w:p w:rsidR="002C4B11" w:rsidRPr="002C4B11" w:rsidRDefault="002C4B11"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p>
    <w:p w:rsidR="007049E0"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 A </w:t>
      </w:r>
      <w:hyperlink r:id="rId32">
        <w:r w:rsidRPr="002C4B11">
          <w:rPr>
            <w:rFonts w:ascii="Tahoma" w:eastAsia="Tahoma" w:hAnsi="Tahoma" w:cs="Tahoma"/>
            <w:b/>
            <w:sz w:val="22"/>
            <w:szCs w:val="22"/>
          </w:rPr>
          <w:t>Resolução CONAMA nº 428</w:t>
        </w:r>
      </w:hyperlink>
      <w:hyperlink r:id="rId33">
        <w:r w:rsidRPr="002C4B11">
          <w:rPr>
            <w:rFonts w:ascii="Tahoma" w:eastAsia="Tahoma" w:hAnsi="Tahoma" w:cs="Tahoma"/>
            <w:sz w:val="22"/>
            <w:szCs w:val="22"/>
          </w:rPr>
          <w:t>, de 17 de dezembro de 2010</w:t>
        </w:r>
      </w:hyperlink>
      <w:r w:rsidRPr="002C4B11">
        <w:rPr>
          <w:rFonts w:ascii="Tahoma" w:eastAsia="Tahoma" w:hAnsi="Tahoma" w:cs="Tahoma"/>
          <w:sz w:val="22"/>
          <w:szCs w:val="22"/>
        </w:rPr>
        <w:t xml:space="preserve">, define que </w:t>
      </w:r>
      <w:r w:rsidRPr="002C4B11">
        <w:rPr>
          <w:rFonts w:ascii="Tahoma" w:eastAsia="Tahoma" w:hAnsi="Tahoma" w:cs="Tahoma"/>
          <w:b/>
          <w:sz w:val="22"/>
          <w:szCs w:val="22"/>
        </w:rPr>
        <w:t xml:space="preserve">atividades a afetarem a zona de amortecimento só terão seu o </w:t>
      </w:r>
      <w:hyperlink r:id="rId34">
        <w:r w:rsidRPr="002C4B11">
          <w:rPr>
            <w:rFonts w:ascii="Tahoma" w:eastAsia="Tahoma" w:hAnsi="Tahoma" w:cs="Tahoma"/>
            <w:b/>
            <w:sz w:val="22"/>
            <w:szCs w:val="22"/>
          </w:rPr>
          <w:t>licenciamento ambiental</w:t>
        </w:r>
      </w:hyperlink>
      <w:r w:rsidRPr="002C4B11">
        <w:rPr>
          <w:rFonts w:ascii="Tahoma" w:eastAsia="Tahoma" w:hAnsi="Tahoma" w:cs="Tahoma"/>
          <w:b/>
          <w:sz w:val="22"/>
          <w:szCs w:val="22"/>
        </w:rPr>
        <w:t xml:space="preserve"> concedido após autorização do órgão gestor da unidade de conservação que ela circunda</w:t>
      </w:r>
      <w:r w:rsidRPr="002C4B11">
        <w:rPr>
          <w:rFonts w:ascii="Tahoma" w:eastAsia="Tahoma" w:hAnsi="Tahoma" w:cs="Tahoma"/>
          <w:sz w:val="22"/>
          <w:szCs w:val="22"/>
        </w:rPr>
        <w:t>, mediante apresentação dos devidos estudos ambientais (EIA/RIMA). Se a Unidade for estabelecida sem a definição da zona de amortecimento, empreendimentos com capacidade de impacto significativo ao ambiente deverão respeitar uma faixa estabelecida de 3 km de distância e serão obrigados a obter o licenciamento;</w:t>
      </w:r>
    </w:p>
    <w:p w:rsidR="002C4B11" w:rsidRPr="002C4B11" w:rsidRDefault="002C4B11"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p>
    <w:p w:rsidR="007049E0"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 O </w:t>
      </w:r>
      <w:r w:rsidRPr="002C4B11">
        <w:rPr>
          <w:rFonts w:ascii="Tahoma" w:eastAsia="Tahoma" w:hAnsi="Tahoma" w:cs="Tahoma"/>
          <w:b/>
          <w:sz w:val="22"/>
          <w:szCs w:val="22"/>
        </w:rPr>
        <w:t>art. 2º da Lei do SNUC</w:t>
      </w:r>
      <w:r w:rsidRPr="002C4B11">
        <w:rPr>
          <w:rFonts w:ascii="Tahoma" w:eastAsia="Tahoma" w:hAnsi="Tahoma" w:cs="Tahoma"/>
          <w:sz w:val="22"/>
          <w:szCs w:val="22"/>
        </w:rPr>
        <w:t>, define como a “</w:t>
      </w:r>
      <w:r w:rsidRPr="002C4B11">
        <w:rPr>
          <w:rFonts w:ascii="Tahoma" w:eastAsia="Tahoma" w:hAnsi="Tahoma" w:cs="Tahoma"/>
          <w:b/>
          <w:sz w:val="22"/>
          <w:szCs w:val="22"/>
        </w:rPr>
        <w:t>região do entorno das unidades de conservação</w:t>
      </w:r>
      <w:r w:rsidRPr="002C4B11">
        <w:rPr>
          <w:rFonts w:ascii="Tahoma" w:eastAsia="Tahoma" w:hAnsi="Tahoma" w:cs="Tahoma"/>
          <w:sz w:val="22"/>
          <w:szCs w:val="22"/>
        </w:rPr>
        <w:t xml:space="preserve">”, aquelas onde as atividades humanas estão sujeitas a normas e restrições específicas, com o </w:t>
      </w:r>
      <w:r w:rsidRPr="002C4B11">
        <w:rPr>
          <w:rFonts w:ascii="Tahoma" w:eastAsia="Tahoma" w:hAnsi="Tahoma" w:cs="Tahoma"/>
          <w:b/>
          <w:sz w:val="22"/>
          <w:szCs w:val="22"/>
        </w:rPr>
        <w:t>propósito de minimizar os impactos negativos sobre a unidade</w:t>
      </w:r>
      <w:r w:rsidRPr="002C4B11">
        <w:rPr>
          <w:rFonts w:ascii="Tahoma" w:eastAsia="Tahoma" w:hAnsi="Tahoma" w:cs="Tahoma"/>
          <w:sz w:val="22"/>
          <w:szCs w:val="22"/>
        </w:rPr>
        <w:t xml:space="preserve">. </w:t>
      </w:r>
    </w:p>
    <w:p w:rsidR="002C4B11" w:rsidRPr="002C4B11" w:rsidRDefault="002C4B11"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p>
    <w:p w:rsidR="007049E0"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Como a própria definição legal deixa transparecer, a finalidade da zona de amortecimento consiste na contenção dos efeitos externos que possam de alguma maneira influenciar negativamente na conservação da unidade. Desta maneira, mesmo não prevendo expressamente como seu objetivo a proteção aos reflexos ecológicos provocados pelo entorno, destinam-se às zonas de amortecimento a minimizar as </w:t>
      </w:r>
      <w:r w:rsidR="00D12B6F" w:rsidRPr="002C4B11">
        <w:rPr>
          <w:rFonts w:ascii="Tahoma" w:eastAsia="Tahoma" w:hAnsi="Tahoma" w:cs="Tahoma"/>
          <w:sz w:val="22"/>
          <w:szCs w:val="22"/>
        </w:rPr>
        <w:t>consequências</w:t>
      </w:r>
      <w:r w:rsidRPr="002C4B11">
        <w:rPr>
          <w:rFonts w:ascii="Tahoma" w:eastAsia="Tahoma" w:hAnsi="Tahoma" w:cs="Tahoma"/>
          <w:sz w:val="22"/>
          <w:szCs w:val="22"/>
        </w:rPr>
        <w:t xml:space="preserve"> do efeito borda, de ocorrência comum nas zonas limítrofes, estabelecendo uma gradatividade na separação entre os ambientes da área protegida e de sua região envoltória, além de impedir que atuações antrópicas interfiram prejudicialmente na manutenção da diversidade biológica.</w:t>
      </w:r>
    </w:p>
    <w:p w:rsidR="002C4B11" w:rsidRPr="002C4B11" w:rsidRDefault="002C4B11"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p>
    <w:p w:rsidR="007049E0" w:rsidRPr="002C4B11" w:rsidRDefault="005B63BD" w:rsidP="002C4B11">
      <w:pPr>
        <w:pBdr>
          <w:top w:val="none" w:sz="0" w:space="0" w:color="000000"/>
          <w:left w:val="none" w:sz="0" w:space="0" w:color="000000"/>
          <w:bottom w:val="none" w:sz="0" w:space="11" w:color="000000"/>
          <w:right w:val="none" w:sz="0" w:space="0" w:color="000000"/>
        </w:pBdr>
        <w:shd w:val="clear" w:color="auto" w:fill="FFFFFF"/>
        <w:spacing w:line="360" w:lineRule="auto"/>
        <w:ind w:right="-4"/>
        <w:jc w:val="both"/>
        <w:rPr>
          <w:rFonts w:ascii="Tahoma" w:eastAsia="Tahoma" w:hAnsi="Tahoma" w:cs="Tahoma"/>
          <w:sz w:val="22"/>
          <w:szCs w:val="22"/>
        </w:rPr>
      </w:pPr>
      <w:r w:rsidRPr="002C4B11">
        <w:rPr>
          <w:rFonts w:ascii="Tahoma" w:eastAsia="Tahoma" w:hAnsi="Tahoma" w:cs="Tahoma"/>
          <w:sz w:val="22"/>
          <w:szCs w:val="22"/>
        </w:rPr>
        <w:t xml:space="preserve">Desta forma, visando ordenar o crescimento urbano, aliando questões econômicas e de conservação e proteção </w:t>
      </w:r>
      <w:r w:rsidR="002B2FEB" w:rsidRPr="002C4B11">
        <w:rPr>
          <w:rFonts w:ascii="Tahoma" w:eastAsia="Tahoma" w:hAnsi="Tahoma" w:cs="Tahoma"/>
          <w:sz w:val="22"/>
          <w:szCs w:val="22"/>
        </w:rPr>
        <w:t>socioambiental</w:t>
      </w:r>
      <w:r w:rsidRPr="002C4B11">
        <w:rPr>
          <w:rFonts w:ascii="Tahoma" w:eastAsia="Tahoma" w:hAnsi="Tahoma" w:cs="Tahoma"/>
          <w:sz w:val="22"/>
          <w:szCs w:val="22"/>
        </w:rPr>
        <w:t>, contamos com o apoio dos nobres pares na aprovação desta emenda.</w:t>
      </w:r>
    </w:p>
    <w:sectPr w:rsidR="007049E0" w:rsidRPr="002C4B11" w:rsidSect="00D14EFA">
      <w:headerReference w:type="default" r:id="rId35"/>
      <w:footerReference w:type="default" r:id="rId36"/>
      <w:pgSz w:w="11905" w:h="16837"/>
      <w:pgMar w:top="1842" w:right="706" w:bottom="543" w:left="1005" w:header="720" w:footer="567"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F44" w:rsidRDefault="00EE0F44">
      <w:r>
        <w:separator/>
      </w:r>
    </w:p>
  </w:endnote>
  <w:endnote w:type="continuationSeparator" w:id="1">
    <w:p w:rsidR="00EE0F44" w:rsidRDefault="00EE0F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FA" w:rsidRDefault="00D14EFA" w:rsidP="0059422A">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D14EFA" w:rsidRDefault="00D14EFA" w:rsidP="0059422A">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59422A" w:rsidRPr="00A63146" w:rsidRDefault="0059422A" w:rsidP="0059422A">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Av. Amaral Peixoto, 625 / Gabinete 30 – Centro – Niterói – RJ – CEP</w:t>
    </w:r>
    <w:proofErr w:type="gramStart"/>
    <w:r w:rsidRPr="00A63146">
      <w:rPr>
        <w:rFonts w:ascii="Tahoma" w:eastAsia="Tahoma" w:hAnsi="Tahoma" w:cs="Tahoma"/>
        <w:b/>
        <w:i/>
        <w:color w:val="000000"/>
        <w:sz w:val="16"/>
        <w:szCs w:val="16"/>
      </w:rPr>
      <w:t>.:</w:t>
    </w:r>
    <w:proofErr w:type="gramEnd"/>
    <w:r w:rsidRPr="00A63146">
      <w:rPr>
        <w:rFonts w:ascii="Tahoma" w:eastAsia="Tahoma" w:hAnsi="Tahoma" w:cs="Tahoma"/>
        <w:b/>
        <w:i/>
        <w:color w:val="000000"/>
        <w:sz w:val="16"/>
        <w:szCs w:val="16"/>
      </w:rPr>
      <w:t xml:space="preserve"> 24.023-900          </w:t>
    </w:r>
    <w:r w:rsidRPr="00A63146">
      <w:rPr>
        <w:rFonts w:ascii="Tahoma" w:eastAsia="Tahoma" w:hAnsi="Tahoma" w:cs="Tahoma"/>
        <w:b/>
        <w:color w:val="000000"/>
        <w:sz w:val="16"/>
        <w:szCs w:val="16"/>
      </w:rPr>
      <w:t>TF</w:t>
    </w:r>
  </w:p>
  <w:p w:rsidR="0059422A" w:rsidRPr="00A63146" w:rsidRDefault="0059422A" w:rsidP="0059422A">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59422A" w:rsidRPr="00A63146" w:rsidRDefault="0059422A" w:rsidP="0059422A">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F44" w:rsidRDefault="00EE0F44">
      <w:r>
        <w:separator/>
      </w:r>
    </w:p>
  </w:footnote>
  <w:footnote w:type="continuationSeparator" w:id="1">
    <w:p w:rsidR="00EE0F44" w:rsidRDefault="00EE0F44">
      <w:r>
        <w:continuationSeparator/>
      </w:r>
    </w:p>
  </w:footnote>
  <w:footnote w:id="2">
    <w:p w:rsidR="007049E0" w:rsidRDefault="005B63BD">
      <w:pPr>
        <w:rPr>
          <w:rFonts w:ascii="Tahoma" w:eastAsia="Tahoma" w:hAnsi="Tahoma" w:cs="Tahoma"/>
          <w:sz w:val="20"/>
          <w:szCs w:val="20"/>
        </w:rPr>
      </w:pPr>
      <w:r>
        <w:rPr>
          <w:vertAlign w:val="superscript"/>
        </w:rPr>
        <w:footnoteRef/>
      </w:r>
      <w:r>
        <w:rPr>
          <w:rFonts w:ascii="Tahoma" w:eastAsia="Tahoma" w:hAnsi="Tahoma" w:cs="Tahoma"/>
          <w:sz w:val="20"/>
          <w:szCs w:val="20"/>
        </w:rPr>
        <w:t>Ver: https://brasil.un.org/pt-br/sdgs</w:t>
      </w:r>
    </w:p>
  </w:footnote>
  <w:footnote w:id="3">
    <w:p w:rsidR="004D69E7" w:rsidRDefault="004D69E7">
      <w:pPr>
        <w:pStyle w:val="Textodenotaderodap"/>
      </w:pPr>
      <w:r>
        <w:rPr>
          <w:rStyle w:val="Refdenotaderodap"/>
        </w:rPr>
        <w:footnoteRef/>
      </w:r>
      <w:r w:rsidR="00296523">
        <w:t>MENDES, S. Projeto Parque Ecológico Lagoa de Piratininga. 2012.</w:t>
      </w:r>
    </w:p>
  </w:footnote>
  <w:footnote w:id="4">
    <w:p w:rsidR="007049E0" w:rsidRDefault="005B63BD">
      <w:pPr>
        <w:rPr>
          <w:rFonts w:ascii="Tahoma" w:eastAsia="Tahoma" w:hAnsi="Tahoma" w:cs="Tahoma"/>
          <w:sz w:val="20"/>
          <w:szCs w:val="20"/>
        </w:rPr>
      </w:pPr>
      <w:r>
        <w:rPr>
          <w:vertAlign w:val="superscript"/>
        </w:rPr>
        <w:footnoteRef/>
      </w:r>
      <w:r>
        <w:rPr>
          <w:rFonts w:ascii="Tahoma" w:eastAsia="Tahoma" w:hAnsi="Tahoma" w:cs="Tahoma"/>
          <w:sz w:val="20"/>
          <w:szCs w:val="20"/>
        </w:rPr>
        <w:t xml:space="preserve"> Ver: https://www.mdpi.com/2673-964X/3/3/13</w:t>
      </w:r>
    </w:p>
  </w:footnote>
  <w:footnote w:id="5">
    <w:p w:rsidR="007049E0" w:rsidRDefault="005B63BD">
      <w:pPr>
        <w:rPr>
          <w:rFonts w:ascii="Tahoma" w:eastAsia="Tahoma" w:hAnsi="Tahoma" w:cs="Tahoma"/>
          <w:sz w:val="20"/>
          <w:szCs w:val="20"/>
        </w:rPr>
      </w:pPr>
      <w:r>
        <w:rPr>
          <w:vertAlign w:val="superscript"/>
        </w:rPr>
        <w:footnoteRef/>
      </w:r>
      <w:r>
        <w:rPr>
          <w:rFonts w:ascii="Tahoma" w:eastAsia="Tahoma" w:hAnsi="Tahoma" w:cs="Tahoma"/>
          <w:sz w:val="20"/>
          <w:szCs w:val="20"/>
        </w:rPr>
        <w:t>Ver: https://coastal.climatecentral.org/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9"/>
      <w:tblW w:w="9648" w:type="dxa"/>
      <w:tblInd w:w="-6" w:type="dxa"/>
      <w:tblLayout w:type="fixed"/>
      <w:tblLook w:val="0000"/>
    </w:tblPr>
    <w:tblGrid>
      <w:gridCol w:w="1728"/>
      <w:gridCol w:w="7920"/>
    </w:tblGrid>
    <w:tr w:rsidR="007049E0">
      <w:trPr>
        <w:cantSplit/>
        <w:trHeight w:val="1950"/>
        <w:tblHeader/>
      </w:trPr>
      <w:tc>
        <w:tcPr>
          <w:tcW w:w="1728" w:type="dxa"/>
        </w:tcPr>
        <w:p w:rsidR="007049E0" w:rsidRDefault="005B63BD">
          <w:pPr>
            <w:pBdr>
              <w:top w:val="nil"/>
              <w:left w:val="nil"/>
              <w:bottom w:val="nil"/>
              <w:right w:val="nil"/>
              <w:between w:val="nil"/>
            </w:pBdr>
            <w:tabs>
              <w:tab w:val="center" w:pos="4252"/>
              <w:tab w:val="right" w:pos="8504"/>
            </w:tabs>
            <w:rPr>
              <w:rFonts w:ascii="Arial" w:eastAsia="Arial" w:hAnsi="Arial" w:cs="Arial"/>
              <w:color w:val="000000"/>
            </w:rPr>
          </w:pPr>
          <w:r>
            <w:rPr>
              <w:noProof/>
              <w:color w:val="000000"/>
              <w:lang w:eastAsia="pt-BR"/>
            </w:rPr>
            <w:drawing>
              <wp:inline distT="0" distB="0" distL="0" distR="0">
                <wp:extent cx="933450" cy="1123950"/>
                <wp:effectExtent l="0" t="0" r="0" b="0"/>
                <wp:docPr id="2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7049E0" w:rsidRDefault="007049E0">
          <w:pPr>
            <w:pBdr>
              <w:top w:val="nil"/>
              <w:left w:val="nil"/>
              <w:bottom w:val="nil"/>
              <w:right w:val="nil"/>
              <w:between w:val="nil"/>
            </w:pBdr>
            <w:tabs>
              <w:tab w:val="center" w:pos="4252"/>
              <w:tab w:val="right" w:pos="8504"/>
            </w:tabs>
            <w:rPr>
              <w:rFonts w:ascii="Arial" w:eastAsia="Arial" w:hAnsi="Arial" w:cs="Arial"/>
              <w:color w:val="000000"/>
            </w:rPr>
          </w:pPr>
        </w:p>
        <w:p w:rsidR="007049E0" w:rsidRDefault="007049E0">
          <w:pPr>
            <w:pBdr>
              <w:top w:val="nil"/>
              <w:left w:val="nil"/>
              <w:bottom w:val="nil"/>
              <w:right w:val="nil"/>
              <w:between w:val="nil"/>
            </w:pBdr>
            <w:tabs>
              <w:tab w:val="center" w:pos="4252"/>
              <w:tab w:val="right" w:pos="8504"/>
            </w:tabs>
            <w:rPr>
              <w:rFonts w:ascii="Arial" w:eastAsia="Arial" w:hAnsi="Arial" w:cs="Arial"/>
              <w:color w:val="000000"/>
            </w:rPr>
          </w:pPr>
        </w:p>
        <w:p w:rsidR="007049E0" w:rsidRDefault="005B63BD">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7049E0" w:rsidRDefault="007049E0">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7049E0" w:rsidRDefault="005B63BD">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7049E0" w:rsidRDefault="007049E0">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7049E0" w:rsidRDefault="007049E0">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107E70"/>
    <w:multiLevelType w:val="hybridMultilevel"/>
    <w:tmpl w:val="0ED8BBC4"/>
    <w:lvl w:ilvl="0" w:tplc="E3FCB5BA">
      <w:start w:val="6"/>
      <w:numFmt w:val="upperRoman"/>
      <w:lvlText w:val="%1."/>
      <w:lvlJc w:val="right"/>
      <w:pPr>
        <w:ind w:left="500" w:hanging="360"/>
      </w:pPr>
      <w:rPr>
        <w:rFonts w:hint="default"/>
        <w:b/>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hdrShapeDefaults>
    <o:shapedefaults v:ext="edit" spidmax="4097"/>
  </w:hdrShapeDefaults>
  <w:footnotePr>
    <w:footnote w:id="0"/>
    <w:footnote w:id="1"/>
  </w:footnotePr>
  <w:endnotePr>
    <w:endnote w:id="0"/>
    <w:endnote w:id="1"/>
  </w:endnotePr>
  <w:compat/>
  <w:rsids>
    <w:rsidRoot w:val="007049E0"/>
    <w:rsid w:val="00020B1A"/>
    <w:rsid w:val="000712BC"/>
    <w:rsid w:val="000C6201"/>
    <w:rsid w:val="00113170"/>
    <w:rsid w:val="00171107"/>
    <w:rsid w:val="00182995"/>
    <w:rsid w:val="001B5B0F"/>
    <w:rsid w:val="001C0540"/>
    <w:rsid w:val="001D2E39"/>
    <w:rsid w:val="001F2C3B"/>
    <w:rsid w:val="002745B8"/>
    <w:rsid w:val="00296523"/>
    <w:rsid w:val="002B2FEB"/>
    <w:rsid w:val="002C4B11"/>
    <w:rsid w:val="002D5FC8"/>
    <w:rsid w:val="002D5FE3"/>
    <w:rsid w:val="002F270C"/>
    <w:rsid w:val="0039429C"/>
    <w:rsid w:val="003A1662"/>
    <w:rsid w:val="004074CC"/>
    <w:rsid w:val="00456FC2"/>
    <w:rsid w:val="0046720C"/>
    <w:rsid w:val="004A6B31"/>
    <w:rsid w:val="004B62FB"/>
    <w:rsid w:val="004C6222"/>
    <w:rsid w:val="004D1D3B"/>
    <w:rsid w:val="004D69E7"/>
    <w:rsid w:val="004F422B"/>
    <w:rsid w:val="004F4902"/>
    <w:rsid w:val="00512901"/>
    <w:rsid w:val="00526573"/>
    <w:rsid w:val="00582313"/>
    <w:rsid w:val="005845C8"/>
    <w:rsid w:val="00585A5A"/>
    <w:rsid w:val="0059422A"/>
    <w:rsid w:val="005B63BD"/>
    <w:rsid w:val="005E150C"/>
    <w:rsid w:val="005E251A"/>
    <w:rsid w:val="005E4954"/>
    <w:rsid w:val="00603078"/>
    <w:rsid w:val="006C784A"/>
    <w:rsid w:val="007049E0"/>
    <w:rsid w:val="00743CCC"/>
    <w:rsid w:val="00792774"/>
    <w:rsid w:val="007B5421"/>
    <w:rsid w:val="0080578C"/>
    <w:rsid w:val="00806709"/>
    <w:rsid w:val="00811360"/>
    <w:rsid w:val="00847FA1"/>
    <w:rsid w:val="00924EC1"/>
    <w:rsid w:val="009E1D65"/>
    <w:rsid w:val="00A41142"/>
    <w:rsid w:val="00A63B49"/>
    <w:rsid w:val="00AA3473"/>
    <w:rsid w:val="00AE1B7A"/>
    <w:rsid w:val="00B30345"/>
    <w:rsid w:val="00BA653C"/>
    <w:rsid w:val="00BF707D"/>
    <w:rsid w:val="00BF755A"/>
    <w:rsid w:val="00C23043"/>
    <w:rsid w:val="00C67E1C"/>
    <w:rsid w:val="00CB6448"/>
    <w:rsid w:val="00CE3734"/>
    <w:rsid w:val="00D12B6F"/>
    <w:rsid w:val="00D14EFA"/>
    <w:rsid w:val="00D861B7"/>
    <w:rsid w:val="00E938CB"/>
    <w:rsid w:val="00E93A0D"/>
    <w:rsid w:val="00EA5C4D"/>
    <w:rsid w:val="00ED2E14"/>
    <w:rsid w:val="00EE0F44"/>
    <w:rsid w:val="00F225C4"/>
    <w:rsid w:val="00F23B9B"/>
    <w:rsid w:val="00F3000A"/>
    <w:rsid w:val="00F32CD0"/>
    <w:rsid w:val="00F94A09"/>
    <w:rsid w:val="00FE0F53"/>
    <w:rsid w:val="00FE3D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ules v:ext="edit">
        <o:r id="V:Rule1" type="connector" idref="#Conector em curva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7"/>
    <w:next w:val="Normal7"/>
    <w:rsid w:val="00E76D67"/>
    <w:pPr>
      <w:keepNext/>
      <w:keepLines/>
      <w:spacing w:before="360" w:after="80"/>
      <w:outlineLvl w:val="1"/>
    </w:pPr>
    <w:rPr>
      <w:b/>
      <w:sz w:val="36"/>
      <w:szCs w:val="36"/>
    </w:rPr>
  </w:style>
  <w:style w:type="paragraph" w:styleId="Ttulo3">
    <w:name w:val="heading 3"/>
    <w:basedOn w:val="Normal7"/>
    <w:next w:val="Normal7"/>
    <w:rsid w:val="00E76D67"/>
    <w:pPr>
      <w:keepNext/>
      <w:keepLines/>
      <w:spacing w:before="280" w:after="80"/>
      <w:outlineLvl w:val="2"/>
    </w:pPr>
    <w:rPr>
      <w:b/>
      <w:sz w:val="28"/>
      <w:szCs w:val="28"/>
    </w:rPr>
  </w:style>
  <w:style w:type="paragraph" w:styleId="Ttulo4">
    <w:name w:val="heading 4"/>
    <w:basedOn w:val="Normal7"/>
    <w:next w:val="Normal7"/>
    <w:rsid w:val="00E76D67"/>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7"/>
    <w:next w:val="Normal7"/>
    <w:rsid w:val="00E76D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FE3D81"/>
    <w:tblPr>
      <w:tblCellMar>
        <w:top w:w="0" w:type="dxa"/>
        <w:left w:w="0" w:type="dxa"/>
        <w:bottom w:w="0" w:type="dxa"/>
        <w:right w:w="0" w:type="dxa"/>
      </w:tblCellMar>
    </w:tblPr>
  </w:style>
  <w:style w:type="paragraph" w:styleId="Ttulo">
    <w:name w:val="Title"/>
    <w:basedOn w:val="Normal7"/>
    <w:next w:val="Normal7"/>
    <w:rsid w:val="00E76D67"/>
    <w:pPr>
      <w:keepNext/>
      <w:keepLines/>
      <w:spacing w:before="480" w:after="120"/>
    </w:pPr>
    <w:rPr>
      <w:b/>
      <w:sz w:val="72"/>
      <w:szCs w:val="72"/>
    </w:rPr>
  </w:style>
  <w:style w:type="table" w:customStyle="1" w:styleId="TableNormal0">
    <w:name w:val="Table Normal"/>
    <w:rsid w:val="00FE3D81"/>
    <w:tblPr>
      <w:tblCellMar>
        <w:top w:w="0" w:type="dxa"/>
        <w:left w:w="0" w:type="dxa"/>
        <w:bottom w:w="0" w:type="dxa"/>
        <w:right w:w="0" w:type="dxa"/>
      </w:tblCellMar>
    </w:tblPr>
  </w:style>
  <w:style w:type="paragraph" w:customStyle="1" w:styleId="Normal1">
    <w:name w:val="Normal1"/>
    <w:rsid w:val="00E76D67"/>
  </w:style>
  <w:style w:type="table" w:customStyle="1" w:styleId="TableNormal1">
    <w:name w:val="Table Normal"/>
    <w:rsid w:val="00E76D67"/>
    <w:tblPr>
      <w:tblCellMar>
        <w:top w:w="0" w:type="dxa"/>
        <w:left w:w="0" w:type="dxa"/>
        <w:bottom w:w="0" w:type="dxa"/>
        <w:right w:w="0" w:type="dxa"/>
      </w:tblCellMar>
    </w:tblPr>
  </w:style>
  <w:style w:type="paragraph" w:customStyle="1" w:styleId="Normal2">
    <w:name w:val="Normal2"/>
    <w:rsid w:val="00E76D67"/>
  </w:style>
  <w:style w:type="table" w:customStyle="1" w:styleId="TableNormal2">
    <w:name w:val="Table Normal"/>
    <w:rsid w:val="00E76D67"/>
    <w:tblPr>
      <w:tblCellMar>
        <w:top w:w="0" w:type="dxa"/>
        <w:left w:w="0" w:type="dxa"/>
        <w:bottom w:w="0" w:type="dxa"/>
        <w:right w:w="0" w:type="dxa"/>
      </w:tblCellMar>
    </w:tblPr>
  </w:style>
  <w:style w:type="paragraph" w:customStyle="1" w:styleId="Normal3">
    <w:name w:val="Normal3"/>
    <w:rsid w:val="00E76D67"/>
  </w:style>
  <w:style w:type="table" w:customStyle="1" w:styleId="TableNormal3">
    <w:name w:val="Table Normal"/>
    <w:rsid w:val="00E76D67"/>
    <w:tblPr>
      <w:tblCellMar>
        <w:top w:w="0" w:type="dxa"/>
        <w:left w:w="0" w:type="dxa"/>
        <w:bottom w:w="0" w:type="dxa"/>
        <w:right w:w="0" w:type="dxa"/>
      </w:tblCellMar>
    </w:tblPr>
  </w:style>
  <w:style w:type="paragraph" w:customStyle="1" w:styleId="Normal4">
    <w:name w:val="Normal4"/>
    <w:rsid w:val="00E76D67"/>
  </w:style>
  <w:style w:type="table" w:customStyle="1" w:styleId="TableNormal4">
    <w:name w:val="Table Normal"/>
    <w:rsid w:val="00E76D67"/>
    <w:tblPr>
      <w:tblCellMar>
        <w:top w:w="0" w:type="dxa"/>
        <w:left w:w="0" w:type="dxa"/>
        <w:bottom w:w="0" w:type="dxa"/>
        <w:right w:w="0" w:type="dxa"/>
      </w:tblCellMar>
    </w:tblPr>
  </w:style>
  <w:style w:type="paragraph" w:customStyle="1" w:styleId="Normal5">
    <w:name w:val="Normal5"/>
    <w:rsid w:val="00E76D67"/>
  </w:style>
  <w:style w:type="table" w:customStyle="1" w:styleId="TableNormal5">
    <w:name w:val="Table Normal"/>
    <w:rsid w:val="00E76D67"/>
    <w:tblPr>
      <w:tblCellMar>
        <w:top w:w="0" w:type="dxa"/>
        <w:left w:w="0" w:type="dxa"/>
        <w:bottom w:w="0" w:type="dxa"/>
        <w:right w:w="0" w:type="dxa"/>
      </w:tblCellMar>
    </w:tblPr>
  </w:style>
  <w:style w:type="paragraph" w:customStyle="1" w:styleId="Normal6">
    <w:name w:val="Normal6"/>
    <w:rsid w:val="00E76D67"/>
  </w:style>
  <w:style w:type="table" w:customStyle="1" w:styleId="TableNormal6">
    <w:name w:val="Table Normal"/>
    <w:rsid w:val="00E76D67"/>
    <w:tblPr>
      <w:tblCellMar>
        <w:top w:w="0" w:type="dxa"/>
        <w:left w:w="0" w:type="dxa"/>
        <w:bottom w:w="0" w:type="dxa"/>
        <w:right w:w="0" w:type="dxa"/>
      </w:tblCellMar>
    </w:tblPr>
  </w:style>
  <w:style w:type="paragraph" w:customStyle="1" w:styleId="Normal7">
    <w:name w:val="Normal7"/>
    <w:rsid w:val="00E76D67"/>
  </w:style>
  <w:style w:type="table" w:customStyle="1" w:styleId="TableNormal7">
    <w:name w:val="Table Normal"/>
    <w:rsid w:val="00E76D67"/>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uiPriority w:val="99"/>
    <w:rsid w:val="00FD1FF5"/>
    <w:pPr>
      <w:tabs>
        <w:tab w:val="center" w:pos="4252"/>
        <w:tab w:val="right" w:pos="8504"/>
      </w:tabs>
    </w:pPr>
  </w:style>
  <w:style w:type="character" w:customStyle="1" w:styleId="RodapChar">
    <w:name w:val="Rodapé Char"/>
    <w:basedOn w:val="Fontepargpadro"/>
    <w:link w:val="Rodap"/>
    <w:uiPriority w:val="99"/>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FE3D81"/>
    <w:pPr>
      <w:keepNext/>
      <w:keepLines/>
      <w:spacing w:before="360" w:after="80"/>
    </w:pPr>
    <w:rPr>
      <w:rFonts w:ascii="Georgia" w:eastAsia="Georgia" w:hAnsi="Georgia" w:cs="Georgia"/>
      <w:i/>
      <w:color w:val="666666"/>
      <w:sz w:val="48"/>
      <w:szCs w:val="48"/>
    </w:rPr>
  </w:style>
  <w:style w:type="table" w:customStyle="1" w:styleId="a">
    <w:basedOn w:val="TableNormal7"/>
    <w:rsid w:val="00E76D67"/>
    <w:tblPr>
      <w:tblStyleRowBandSize w:val="1"/>
      <w:tblStyleColBandSize w:val="1"/>
      <w:tblCellMar>
        <w:top w:w="0" w:type="dxa"/>
        <w:left w:w="115" w:type="dxa"/>
        <w:bottom w:w="0" w:type="dxa"/>
        <w:right w:w="115" w:type="dxa"/>
      </w:tblCellMar>
    </w:tblPr>
  </w:style>
  <w:style w:type="table" w:customStyle="1" w:styleId="a0">
    <w:basedOn w:val="TableNormal7"/>
    <w:rsid w:val="00E76D67"/>
    <w:tblPr>
      <w:tblStyleRowBandSize w:val="1"/>
      <w:tblStyleColBandSize w:val="1"/>
      <w:tblCellMar>
        <w:top w:w="0" w:type="dxa"/>
        <w:left w:w="115" w:type="dxa"/>
        <w:bottom w:w="0" w:type="dxa"/>
        <w:right w:w="115" w:type="dxa"/>
      </w:tblCellMar>
    </w:tblPr>
  </w:style>
  <w:style w:type="table" w:customStyle="1" w:styleId="a1">
    <w:basedOn w:val="TableNormal7"/>
    <w:rsid w:val="00E76D67"/>
    <w:tblPr>
      <w:tblStyleRowBandSize w:val="1"/>
      <w:tblStyleColBandSize w:val="1"/>
      <w:tblCellMar>
        <w:top w:w="0" w:type="dxa"/>
        <w:left w:w="115" w:type="dxa"/>
        <w:bottom w:w="0" w:type="dxa"/>
        <w:right w:w="115" w:type="dxa"/>
      </w:tblCellMar>
    </w:tblPr>
  </w:style>
  <w:style w:type="table" w:customStyle="1" w:styleId="a2">
    <w:basedOn w:val="TableNormal7"/>
    <w:rsid w:val="00E76D67"/>
    <w:tblPr>
      <w:tblStyleRowBandSize w:val="1"/>
      <w:tblStyleColBandSize w:val="1"/>
      <w:tblCellMar>
        <w:top w:w="100" w:type="dxa"/>
        <w:left w:w="100" w:type="dxa"/>
        <w:bottom w:w="100" w:type="dxa"/>
        <w:right w:w="100" w:type="dxa"/>
      </w:tblCellMar>
    </w:tblPr>
  </w:style>
  <w:style w:type="table" w:customStyle="1" w:styleId="a3">
    <w:basedOn w:val="TableNormal7"/>
    <w:rsid w:val="00E76D67"/>
    <w:tblPr>
      <w:tblStyleRowBandSize w:val="1"/>
      <w:tblStyleColBandSize w:val="1"/>
      <w:tblCellMar>
        <w:top w:w="100" w:type="dxa"/>
        <w:left w:w="100" w:type="dxa"/>
        <w:bottom w:w="100" w:type="dxa"/>
        <w:right w:w="100" w:type="dxa"/>
      </w:tblCellMar>
    </w:tblPr>
  </w:style>
  <w:style w:type="table" w:customStyle="1" w:styleId="a4">
    <w:basedOn w:val="TableNormal7"/>
    <w:rsid w:val="00E76D67"/>
    <w:tblPr>
      <w:tblStyleRowBandSize w:val="1"/>
      <w:tblStyleColBandSize w:val="1"/>
      <w:tblCellMar>
        <w:top w:w="0" w:type="dxa"/>
        <w:left w:w="115" w:type="dxa"/>
        <w:bottom w:w="0" w:type="dxa"/>
        <w:right w:w="115" w:type="dxa"/>
      </w:tblCellMar>
    </w:tblPr>
  </w:style>
  <w:style w:type="table" w:customStyle="1" w:styleId="a5">
    <w:basedOn w:val="TableNormal7"/>
    <w:rsid w:val="00E76D67"/>
    <w:tblPr>
      <w:tblStyleRowBandSize w:val="1"/>
      <w:tblStyleColBandSize w:val="1"/>
      <w:tblCellMar>
        <w:top w:w="0" w:type="dxa"/>
        <w:left w:w="115" w:type="dxa"/>
        <w:bottom w:w="0" w:type="dxa"/>
        <w:right w:w="115" w:type="dxa"/>
      </w:tblCellMar>
    </w:tblPr>
  </w:style>
  <w:style w:type="table" w:customStyle="1" w:styleId="a6">
    <w:basedOn w:val="TableNormal7"/>
    <w:rsid w:val="00E76D67"/>
    <w:tblPr>
      <w:tblStyleRowBandSize w:val="1"/>
      <w:tblStyleColBandSize w:val="1"/>
      <w:tblCellMar>
        <w:top w:w="0" w:type="dxa"/>
        <w:left w:w="115" w:type="dxa"/>
        <w:bottom w:w="0" w:type="dxa"/>
        <w:right w:w="115" w:type="dxa"/>
      </w:tblCellMar>
    </w:tblPr>
  </w:style>
  <w:style w:type="table" w:customStyle="1" w:styleId="a7">
    <w:basedOn w:val="TableNormal7"/>
    <w:rsid w:val="00E76D67"/>
    <w:tblPr>
      <w:tblStyleRowBandSize w:val="1"/>
      <w:tblStyleColBandSize w:val="1"/>
      <w:tblCellMar>
        <w:top w:w="0" w:type="dxa"/>
        <w:left w:w="115" w:type="dxa"/>
        <w:bottom w:w="0" w:type="dxa"/>
        <w:right w:w="115" w:type="dxa"/>
      </w:tblCellMar>
    </w:tblPr>
  </w:style>
  <w:style w:type="table" w:customStyle="1" w:styleId="a8">
    <w:basedOn w:val="TableNormal1"/>
    <w:rsid w:val="00FE3D81"/>
    <w:tblPr>
      <w:tblStyleRowBandSize w:val="1"/>
      <w:tblStyleColBandSize w:val="1"/>
      <w:tblCellMar>
        <w:top w:w="0" w:type="dxa"/>
        <w:left w:w="115" w:type="dxa"/>
        <w:bottom w:w="0" w:type="dxa"/>
        <w:right w:w="115" w:type="dxa"/>
      </w:tblCellMar>
    </w:tblPr>
  </w:style>
  <w:style w:type="table" w:customStyle="1" w:styleId="a9">
    <w:basedOn w:val="TableNormal1"/>
    <w:rsid w:val="00FE3D81"/>
    <w:tblPr>
      <w:tblStyleRowBandSize w:val="1"/>
      <w:tblStyleColBandSize w:val="1"/>
      <w:tblCellMar>
        <w:top w:w="0" w:type="dxa"/>
        <w:left w:w="115" w:type="dxa"/>
        <w:bottom w:w="0" w:type="dxa"/>
        <w:right w:w="115" w:type="dxa"/>
      </w:tblCellMar>
    </w:tblPr>
  </w:style>
  <w:style w:type="paragraph" w:styleId="Textodenotaderodap">
    <w:name w:val="footnote text"/>
    <w:basedOn w:val="Normal"/>
    <w:link w:val="TextodenotaderodapChar"/>
    <w:uiPriority w:val="99"/>
    <w:semiHidden/>
    <w:unhideWhenUsed/>
    <w:rsid w:val="004D69E7"/>
    <w:rPr>
      <w:sz w:val="20"/>
      <w:szCs w:val="20"/>
    </w:rPr>
  </w:style>
  <w:style w:type="character" w:customStyle="1" w:styleId="TextodenotaderodapChar">
    <w:name w:val="Texto de nota de rodapé Char"/>
    <w:basedOn w:val="Fontepargpadro"/>
    <w:link w:val="Textodenotaderodap"/>
    <w:uiPriority w:val="99"/>
    <w:semiHidden/>
    <w:rsid w:val="004D69E7"/>
    <w:rPr>
      <w:rFonts w:eastAsia="Lucida Sans Unicode"/>
      <w:kern w:val="1"/>
      <w:sz w:val="20"/>
      <w:szCs w:val="20"/>
      <w:lang w:eastAsia="ar-SA"/>
    </w:rPr>
  </w:style>
  <w:style w:type="character" w:styleId="Refdenotaderodap">
    <w:name w:val="footnote reference"/>
    <w:basedOn w:val="Fontepargpadro"/>
    <w:uiPriority w:val="99"/>
    <w:semiHidden/>
    <w:unhideWhenUsed/>
    <w:rsid w:val="004D69E7"/>
    <w:rPr>
      <w:vertAlign w:val="superscript"/>
    </w:rPr>
  </w:style>
  <w:style w:type="paragraph" w:styleId="PargrafodaLista">
    <w:name w:val="List Paragraph"/>
    <w:basedOn w:val="Normal"/>
    <w:uiPriority w:val="34"/>
    <w:qFormat/>
    <w:rsid w:val="004F4902"/>
    <w:pPr>
      <w:ind w:left="720"/>
      <w:contextualSpacing/>
    </w:pPr>
  </w:style>
</w:styles>
</file>

<file path=word/webSettings.xml><?xml version="1.0" encoding="utf-8"?>
<w:webSettings xmlns:r="http://schemas.openxmlformats.org/officeDocument/2006/relationships" xmlns:w="http://schemas.openxmlformats.org/wordprocessingml/2006/main">
  <w:divs>
    <w:div w:id="224461772">
      <w:bodyDiv w:val="1"/>
      <w:marLeft w:val="0"/>
      <w:marRight w:val="0"/>
      <w:marTop w:val="0"/>
      <w:marBottom w:val="0"/>
      <w:divBdr>
        <w:top w:val="none" w:sz="0" w:space="0" w:color="auto"/>
        <w:left w:val="none" w:sz="0" w:space="0" w:color="auto"/>
        <w:bottom w:val="none" w:sz="0" w:space="0" w:color="auto"/>
        <w:right w:val="none" w:sz="0" w:space="0" w:color="auto"/>
      </w:divBdr>
    </w:div>
    <w:div w:id="276254910">
      <w:bodyDiv w:val="1"/>
      <w:marLeft w:val="0"/>
      <w:marRight w:val="0"/>
      <w:marTop w:val="0"/>
      <w:marBottom w:val="0"/>
      <w:divBdr>
        <w:top w:val="none" w:sz="0" w:space="0" w:color="auto"/>
        <w:left w:val="none" w:sz="0" w:space="0" w:color="auto"/>
        <w:bottom w:val="none" w:sz="0" w:space="0" w:color="auto"/>
        <w:right w:val="none" w:sz="0" w:space="0" w:color="auto"/>
      </w:divBdr>
    </w:div>
    <w:div w:id="409234807">
      <w:bodyDiv w:val="1"/>
      <w:marLeft w:val="0"/>
      <w:marRight w:val="0"/>
      <w:marTop w:val="0"/>
      <w:marBottom w:val="0"/>
      <w:divBdr>
        <w:top w:val="none" w:sz="0" w:space="0" w:color="auto"/>
        <w:left w:val="none" w:sz="0" w:space="0" w:color="auto"/>
        <w:bottom w:val="none" w:sz="0" w:space="0" w:color="auto"/>
        <w:right w:val="none" w:sz="0" w:space="0" w:color="auto"/>
      </w:divBdr>
    </w:div>
    <w:div w:id="1213157298">
      <w:bodyDiv w:val="1"/>
      <w:marLeft w:val="0"/>
      <w:marRight w:val="0"/>
      <w:marTop w:val="0"/>
      <w:marBottom w:val="0"/>
      <w:divBdr>
        <w:top w:val="none" w:sz="0" w:space="0" w:color="auto"/>
        <w:left w:val="none" w:sz="0" w:space="0" w:color="auto"/>
        <w:bottom w:val="none" w:sz="0" w:space="0" w:color="auto"/>
        <w:right w:val="none" w:sz="0" w:space="0" w:color="auto"/>
      </w:divBdr>
    </w:div>
    <w:div w:id="2005669924">
      <w:bodyDiv w:val="1"/>
      <w:marLeft w:val="0"/>
      <w:marRight w:val="0"/>
      <w:marTop w:val="0"/>
      <w:marBottom w:val="0"/>
      <w:divBdr>
        <w:top w:val="none" w:sz="0" w:space="0" w:color="auto"/>
        <w:left w:val="none" w:sz="0" w:space="0" w:color="auto"/>
        <w:bottom w:val="none" w:sz="0" w:space="0" w:color="auto"/>
        <w:right w:val="none" w:sz="0" w:space="0" w:color="auto"/>
      </w:divBdr>
    </w:div>
    <w:div w:id="2006007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yperlink" Target="https://oeco.org.br/dicionario-ambiental/28754-o-que-e-uma-zona-de-amortecimento/dicionario-ambiental/27321-o-que-e-licenciamento-ambienta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www.mma.gov.br/port/conama/legiabre.cfm?codlegi=64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yperlink" Target="https://oeco.org.br/dicionario-ambiental/28754-o-que-e-uma-zona-de-amortecimento/dicionario-ambiental/28223-o-que-e-o-snu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www.mma.gov.br/port/conama/legiabre.cfm?codlegi=641"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oeco.org.br/dicionario-ambiental/28754-o-que-e-uma-zona-de-amortecimento/dicionario-ambiental/27923-o-que-e-fragmentaca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http://www.planalto.gov.br/ccivil_03/leis/l9985.htm"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Ybnk5Utd6HVEyV+34EuWTO1KLg==">CgMxLjA4AHIZaWQ6S2o3N2x6Y0p0TlVBQUFBQUFBQ2c5QQ==</go:docsCustomData>
</go:gDocsCustomXmlDataStorage>
</file>

<file path=customXml/itemProps1.xml><?xml version="1.0" encoding="utf-8"?>
<ds:datastoreItem xmlns:ds="http://schemas.openxmlformats.org/officeDocument/2006/customXml" ds:itemID="{33745F27-12E6-46E3-B748-D0217FC7969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3482</Words>
  <Characters>18809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2024-02-07T13:49:00Z</cp:lastPrinted>
  <dcterms:created xsi:type="dcterms:W3CDTF">2024-02-19T20:10:00Z</dcterms:created>
  <dcterms:modified xsi:type="dcterms:W3CDTF">2024-02-19T20:10:00Z</dcterms:modified>
</cp:coreProperties>
</file>