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E0047" w:rsidRDefault="0096211F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Emenda Nº      /202</w:t>
      </w:r>
      <w:r w:rsidR="007D58EB">
        <w:rPr>
          <w:rFonts w:ascii="Tahoma" w:eastAsia="Tahoma" w:hAnsi="Tahoma" w:cs="Tahoma"/>
          <w:b/>
          <w:color w:val="000000"/>
        </w:rPr>
        <w:t>4</w:t>
      </w:r>
    </w:p>
    <w:p w:rsidR="00FE0047" w:rsidRDefault="00FE0047">
      <w:pPr>
        <w:rPr>
          <w:rFonts w:ascii="Tahoma" w:eastAsia="Tahoma" w:hAnsi="Tahoma" w:cs="Tahoma"/>
          <w:b/>
        </w:rPr>
      </w:pPr>
    </w:p>
    <w:p w:rsidR="00FE0047" w:rsidRDefault="0096211F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 xml:space="preserve">Aditiva ao Projeto de Lei Nº. </w:t>
      </w:r>
      <w:r w:rsidR="007B438E">
        <w:rPr>
          <w:rFonts w:ascii="Tahoma" w:eastAsia="Tahoma" w:hAnsi="Tahoma" w:cs="Tahoma"/>
          <w:b/>
          <w:color w:val="000000"/>
        </w:rPr>
        <w:t>22</w:t>
      </w:r>
      <w:r w:rsidR="00C02851">
        <w:rPr>
          <w:rFonts w:ascii="Tahoma" w:eastAsia="Tahoma" w:hAnsi="Tahoma" w:cs="Tahoma"/>
          <w:b/>
          <w:color w:val="000000"/>
        </w:rPr>
        <w:t>1</w:t>
      </w:r>
      <w:r>
        <w:rPr>
          <w:rFonts w:ascii="Tahoma" w:eastAsia="Tahoma" w:hAnsi="Tahoma" w:cs="Tahoma"/>
          <w:b/>
          <w:color w:val="000000"/>
        </w:rPr>
        <w:t>/202</w:t>
      </w:r>
      <w:r w:rsidR="005562A1">
        <w:rPr>
          <w:rFonts w:ascii="Tahoma" w:eastAsia="Tahoma" w:hAnsi="Tahoma" w:cs="Tahoma"/>
          <w:b/>
          <w:color w:val="000000"/>
        </w:rPr>
        <w:t>3</w:t>
      </w:r>
    </w:p>
    <w:p w:rsidR="00FE0047" w:rsidRDefault="0096211F">
      <w:pPr>
        <w:ind w:left="6315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          </w:t>
      </w:r>
    </w:p>
    <w:p w:rsidR="00FE0047" w:rsidRDefault="0096211F">
      <w:pPr>
        <w:ind w:left="6315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                                                                                            </w:t>
      </w:r>
    </w:p>
    <w:p w:rsidR="00FE0047" w:rsidRDefault="0096211F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</w:rPr>
        <w:t xml:space="preserve">Acrescenta-se </w:t>
      </w:r>
      <w:r w:rsidR="001C168C" w:rsidRPr="001C168C">
        <w:rPr>
          <w:rFonts w:ascii="Tahoma" w:eastAsia="Tahoma" w:hAnsi="Tahoma" w:cs="Tahoma"/>
          <w:b/>
          <w:sz w:val="22"/>
          <w:szCs w:val="22"/>
        </w:rPr>
        <w:t>parágrafo único</w:t>
      </w:r>
      <w:r w:rsidR="001C168C">
        <w:rPr>
          <w:rFonts w:ascii="Tahoma" w:eastAsia="Tahoma" w:hAnsi="Tahoma" w:cs="Tahoma"/>
          <w:b/>
          <w:sz w:val="22"/>
          <w:szCs w:val="22"/>
        </w:rPr>
        <w:t>,</w:t>
      </w:r>
      <w:r w:rsidR="001C168C">
        <w:rPr>
          <w:rFonts w:ascii="Tahoma" w:eastAsia="Tahoma" w:hAnsi="Tahoma" w:cs="Tahoma"/>
          <w:sz w:val="22"/>
          <w:szCs w:val="22"/>
        </w:rPr>
        <w:t xml:space="preserve"> </w:t>
      </w:r>
      <w:r w:rsidR="001C168C" w:rsidRPr="001C168C">
        <w:rPr>
          <w:rFonts w:ascii="Tahoma" w:eastAsia="Tahoma" w:hAnsi="Tahoma" w:cs="Tahoma"/>
          <w:b/>
          <w:sz w:val="22"/>
          <w:szCs w:val="22"/>
        </w:rPr>
        <w:t>a</w:t>
      </w:r>
      <w:r>
        <w:rPr>
          <w:rFonts w:ascii="Tahoma" w:eastAsia="Tahoma" w:hAnsi="Tahoma" w:cs="Tahoma"/>
          <w:b/>
          <w:sz w:val="22"/>
          <w:szCs w:val="22"/>
        </w:rPr>
        <w:t xml:space="preserve">o Art. </w:t>
      </w:r>
      <w:r w:rsidR="001C168C">
        <w:rPr>
          <w:rFonts w:ascii="Tahoma" w:eastAsia="Tahoma" w:hAnsi="Tahoma" w:cs="Tahoma"/>
          <w:b/>
          <w:sz w:val="22"/>
          <w:szCs w:val="22"/>
        </w:rPr>
        <w:t>171</w:t>
      </w:r>
      <w:r>
        <w:rPr>
          <w:rFonts w:ascii="Tahoma" w:eastAsia="Tahoma" w:hAnsi="Tahoma" w:cs="Tahoma"/>
          <w:sz w:val="22"/>
          <w:szCs w:val="22"/>
        </w:rPr>
        <w:t>,</w:t>
      </w:r>
      <w:r>
        <w:rPr>
          <w:rFonts w:ascii="Tahoma" w:eastAsia="Tahoma" w:hAnsi="Tahoma" w:cs="Tahoma"/>
          <w:b/>
          <w:sz w:val="22"/>
          <w:szCs w:val="22"/>
        </w:rPr>
        <w:t xml:space="preserve"> </w:t>
      </w:r>
      <w:r w:rsidR="001C168C" w:rsidRPr="001C168C">
        <w:rPr>
          <w:rFonts w:ascii="Tahoma" w:hAnsi="Tahoma" w:cs="Tahoma"/>
          <w:b/>
        </w:rPr>
        <w:t xml:space="preserve">No licenciamento de residência </w:t>
      </w:r>
      <w:proofErr w:type="spellStart"/>
      <w:r w:rsidR="001C168C" w:rsidRPr="001C168C">
        <w:rPr>
          <w:rFonts w:ascii="Tahoma" w:hAnsi="Tahoma" w:cs="Tahoma"/>
          <w:b/>
        </w:rPr>
        <w:t>unifamiliar</w:t>
      </w:r>
      <w:proofErr w:type="spellEnd"/>
      <w:r w:rsidR="001C168C" w:rsidRPr="001C168C">
        <w:rPr>
          <w:rFonts w:ascii="Tahoma" w:hAnsi="Tahoma" w:cs="Tahoma"/>
          <w:b/>
        </w:rPr>
        <w:t xml:space="preserve"> pode ser emitido um único documento que englobe os alvarás de aprovação e execução</w:t>
      </w:r>
      <w:r w:rsidRPr="00C02851">
        <w:rPr>
          <w:rFonts w:ascii="Tahoma" w:eastAsia="Tahoma" w:hAnsi="Tahoma" w:cs="Tahoma"/>
          <w:b/>
          <w:sz w:val="22"/>
          <w:szCs w:val="22"/>
        </w:rPr>
        <w:t>,</w:t>
      </w:r>
      <w:r>
        <w:rPr>
          <w:rFonts w:ascii="Tahoma" w:eastAsia="Tahoma" w:hAnsi="Tahoma" w:cs="Tahoma"/>
          <w:b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ao Projeto de Lei Nº </w:t>
      </w:r>
      <w:r w:rsidR="007B438E">
        <w:rPr>
          <w:rFonts w:ascii="Tahoma" w:eastAsia="Tahoma" w:hAnsi="Tahoma" w:cs="Tahoma"/>
          <w:sz w:val="22"/>
          <w:szCs w:val="22"/>
        </w:rPr>
        <w:t>22</w:t>
      </w:r>
      <w:r w:rsidR="00C02851">
        <w:rPr>
          <w:rFonts w:ascii="Tahoma" w:eastAsia="Tahoma" w:hAnsi="Tahoma" w:cs="Tahoma"/>
          <w:sz w:val="22"/>
          <w:szCs w:val="22"/>
        </w:rPr>
        <w:t>1</w:t>
      </w:r>
      <w:r>
        <w:rPr>
          <w:rFonts w:ascii="Tahoma" w:eastAsia="Tahoma" w:hAnsi="Tahoma" w:cs="Tahoma"/>
          <w:sz w:val="22"/>
          <w:szCs w:val="22"/>
        </w:rPr>
        <w:t>/202</w:t>
      </w:r>
      <w:r w:rsidR="005562A1">
        <w:rPr>
          <w:rFonts w:ascii="Tahoma" w:eastAsia="Tahoma" w:hAnsi="Tahoma" w:cs="Tahoma"/>
          <w:sz w:val="22"/>
          <w:szCs w:val="22"/>
        </w:rPr>
        <w:t>3</w:t>
      </w:r>
      <w:r>
        <w:rPr>
          <w:rFonts w:ascii="Tahoma" w:eastAsia="Tahoma" w:hAnsi="Tahoma" w:cs="Tahoma"/>
          <w:sz w:val="22"/>
          <w:szCs w:val="22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FE0047" w:rsidRDefault="00FE0047">
      <w:pPr>
        <w:spacing w:line="360" w:lineRule="auto"/>
        <w:ind w:left="5103"/>
        <w:jc w:val="both"/>
        <w:rPr>
          <w:rFonts w:ascii="Tahoma" w:eastAsia="Tahoma" w:hAnsi="Tahoma" w:cs="Tahoma"/>
          <w:color w:val="000000"/>
          <w:sz w:val="22"/>
          <w:szCs w:val="22"/>
          <w:highlight w:val="white"/>
        </w:rPr>
      </w:pPr>
    </w:p>
    <w:p w:rsidR="00FE0047" w:rsidRDefault="00FE0047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:rsidR="00FE0047" w:rsidRDefault="0096211F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Art.1º - </w:t>
      </w:r>
      <w:r w:rsidR="001C168C">
        <w:rPr>
          <w:rFonts w:ascii="Tahoma" w:eastAsia="Tahoma" w:hAnsi="Tahoma" w:cs="Tahoma"/>
          <w:b/>
          <w:sz w:val="22"/>
          <w:szCs w:val="22"/>
        </w:rPr>
        <w:t>P</w:t>
      </w:r>
      <w:r w:rsidR="001C168C" w:rsidRPr="001C168C">
        <w:rPr>
          <w:rFonts w:ascii="Tahoma" w:eastAsia="Tahoma" w:hAnsi="Tahoma" w:cs="Tahoma"/>
          <w:b/>
          <w:sz w:val="22"/>
          <w:szCs w:val="22"/>
        </w:rPr>
        <w:t>arágrafo único</w:t>
      </w:r>
      <w:r w:rsidR="00B617E6">
        <w:rPr>
          <w:rFonts w:ascii="Tahoma" w:eastAsia="Tahoma" w:hAnsi="Tahoma" w:cs="Tahoma"/>
          <w:b/>
          <w:sz w:val="22"/>
          <w:szCs w:val="22"/>
        </w:rPr>
        <w:t>:</w:t>
      </w:r>
      <w:r w:rsidR="001C168C">
        <w:rPr>
          <w:rFonts w:ascii="Tahoma" w:eastAsia="Tahoma" w:hAnsi="Tahoma" w:cs="Tahoma"/>
          <w:b/>
          <w:sz w:val="22"/>
          <w:szCs w:val="22"/>
        </w:rPr>
        <w:t xml:space="preserve"> </w:t>
      </w:r>
      <w:r w:rsidR="001C168C" w:rsidRPr="001C168C">
        <w:rPr>
          <w:rFonts w:ascii="Tahoma" w:hAnsi="Tahoma" w:cs="Tahoma"/>
          <w:b/>
        </w:rPr>
        <w:t xml:space="preserve">No licenciamento de residência </w:t>
      </w:r>
      <w:proofErr w:type="spellStart"/>
      <w:r w:rsidR="001C168C" w:rsidRPr="001C168C">
        <w:rPr>
          <w:rFonts w:ascii="Tahoma" w:hAnsi="Tahoma" w:cs="Tahoma"/>
          <w:b/>
        </w:rPr>
        <w:t>unifamiliar</w:t>
      </w:r>
      <w:proofErr w:type="spellEnd"/>
      <w:r w:rsidR="001C168C" w:rsidRPr="001C168C">
        <w:rPr>
          <w:rFonts w:ascii="Tahoma" w:hAnsi="Tahoma" w:cs="Tahoma"/>
          <w:b/>
        </w:rPr>
        <w:t xml:space="preserve"> pode ser emitido um único documento que englobe os alvarás de aprovação e execução</w:t>
      </w:r>
      <w:r w:rsidR="007E2961">
        <w:rPr>
          <w:rFonts w:ascii="Tahoma" w:eastAsia="Tahoma" w:hAnsi="Tahoma" w:cs="Tahoma"/>
          <w:b/>
          <w:sz w:val="22"/>
          <w:szCs w:val="22"/>
        </w:rPr>
        <w:t>.</w:t>
      </w:r>
    </w:p>
    <w:p w:rsidR="007D58EB" w:rsidRDefault="007D58EB">
      <w:pPr>
        <w:ind w:left="567"/>
        <w:jc w:val="right"/>
        <w:rPr>
          <w:rFonts w:ascii="Tahoma" w:eastAsia="Tahoma" w:hAnsi="Tahoma" w:cs="Tahoma"/>
        </w:rPr>
      </w:pPr>
    </w:p>
    <w:p w:rsidR="00FE0047" w:rsidRDefault="0096211F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7B438E">
        <w:rPr>
          <w:rFonts w:ascii="Tahoma" w:eastAsia="Tahoma" w:hAnsi="Tahoma" w:cs="Tahoma"/>
        </w:rPr>
        <w:t>07</w:t>
      </w:r>
      <w:r>
        <w:rPr>
          <w:rFonts w:ascii="Tahoma" w:eastAsia="Tahoma" w:hAnsi="Tahoma" w:cs="Tahoma"/>
        </w:rPr>
        <w:t xml:space="preserve"> de </w:t>
      </w:r>
      <w:r w:rsidR="007B438E">
        <w:rPr>
          <w:rFonts w:ascii="Tahoma" w:eastAsia="Tahoma" w:hAnsi="Tahoma" w:cs="Tahoma"/>
        </w:rPr>
        <w:t>fevereiro</w:t>
      </w:r>
      <w:r>
        <w:rPr>
          <w:rFonts w:ascii="Tahoma" w:eastAsia="Tahoma" w:hAnsi="Tahoma" w:cs="Tahoma"/>
        </w:rPr>
        <w:t xml:space="preserve"> de 202</w:t>
      </w:r>
      <w:r w:rsidR="007B438E">
        <w:rPr>
          <w:rFonts w:ascii="Tahoma" w:eastAsia="Tahoma" w:hAnsi="Tahoma" w:cs="Tahoma"/>
        </w:rPr>
        <w:t>4</w:t>
      </w:r>
      <w:r>
        <w:rPr>
          <w:rFonts w:ascii="Tahoma" w:eastAsia="Tahoma" w:hAnsi="Tahoma" w:cs="Tahoma"/>
        </w:rPr>
        <w:t>.</w:t>
      </w:r>
    </w:p>
    <w:p w:rsidR="00FE0047" w:rsidRDefault="00FE0047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FE0047" w:rsidRDefault="00FE0047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FE0047" w:rsidRDefault="00FE0047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7D58EB" w:rsidRDefault="007D58EB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7D58EB" w:rsidRDefault="007D58EB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FE0047" w:rsidRDefault="0096211F" w:rsidP="00DB3853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  <w:sz w:val="23"/>
          <w:szCs w:val="23"/>
        </w:rPr>
      </w:pPr>
      <w:r>
        <w:rPr>
          <w:rFonts w:ascii="Tahoma" w:eastAsia="Tahoma" w:hAnsi="Tahoma" w:cs="Tahoma"/>
          <w:b/>
          <w:sz w:val="23"/>
          <w:szCs w:val="23"/>
        </w:rPr>
        <w:t>Daniel Marques</w:t>
      </w:r>
    </w:p>
    <w:p w:rsidR="00FE0047" w:rsidRDefault="0096211F" w:rsidP="00DB3853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  <w:sz w:val="23"/>
          <w:szCs w:val="23"/>
        </w:rPr>
      </w:pPr>
      <w:r>
        <w:rPr>
          <w:rFonts w:ascii="Tahoma" w:eastAsia="Tahoma" w:hAnsi="Tahoma" w:cs="Tahoma"/>
          <w:b/>
          <w:sz w:val="23"/>
          <w:szCs w:val="23"/>
        </w:rPr>
        <w:t>Vereador</w:t>
      </w:r>
    </w:p>
    <w:p w:rsidR="00DB3853" w:rsidRDefault="00DB3853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1C168C" w:rsidRDefault="001C168C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1C168C" w:rsidRDefault="001C168C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1C168C" w:rsidRDefault="001C168C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1C168C" w:rsidRDefault="001C168C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1C168C" w:rsidRDefault="001C168C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FE0047" w:rsidRPr="003C24A0" w:rsidRDefault="0096211F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JUSTIFICATIVA:</w:t>
      </w:r>
    </w:p>
    <w:p w:rsidR="003C24A0" w:rsidRPr="003C24A0" w:rsidRDefault="003C24A0">
      <w:pPr>
        <w:spacing w:line="360" w:lineRule="auto"/>
        <w:ind w:firstLine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</w:t>
      </w:r>
      <w:r w:rsidRPr="003C24A0">
        <w:rPr>
          <w:rFonts w:ascii="Tahoma" w:hAnsi="Tahoma" w:cs="Tahoma"/>
        </w:rPr>
        <w:t xml:space="preserve"> projeto de lei que dispõe sobre a Lei Urbanística de Niterói, seu zoneamento, a aplicação de instrumentos de Política Urbana e as regras gerais de licenciamento da atividade edilícia e de fi</w:t>
      </w:r>
      <w:r>
        <w:rPr>
          <w:rFonts w:ascii="Tahoma" w:hAnsi="Tahoma" w:cs="Tahoma"/>
        </w:rPr>
        <w:t xml:space="preserve">scalização da execução de obras, </w:t>
      </w:r>
      <w:r w:rsidRPr="003C24A0">
        <w:rPr>
          <w:rFonts w:ascii="Tahoma" w:hAnsi="Tahoma" w:cs="Tahoma"/>
          <w:b/>
        </w:rPr>
        <w:t xml:space="preserve">tem como uma das suas premissas a simplificação da Lei, dos procedimentos administrativos e a maior facilidade de compreensão do arcabouço legal por parte da população </w:t>
      </w:r>
      <w:r w:rsidR="006B3516">
        <w:rPr>
          <w:rFonts w:ascii="Tahoma" w:hAnsi="Tahoma" w:cs="Tahoma"/>
          <w:b/>
        </w:rPr>
        <w:t xml:space="preserve">que </w:t>
      </w:r>
      <w:r w:rsidRPr="003C24A0">
        <w:rPr>
          <w:rFonts w:ascii="Tahoma" w:hAnsi="Tahoma" w:cs="Tahoma"/>
          <w:b/>
        </w:rPr>
        <w:t xml:space="preserve">permitirá </w:t>
      </w:r>
      <w:r w:rsidR="006B3516">
        <w:rPr>
          <w:rFonts w:ascii="Tahoma" w:hAnsi="Tahoma" w:cs="Tahoma"/>
          <w:b/>
        </w:rPr>
        <w:t xml:space="preserve">a </w:t>
      </w:r>
      <w:r w:rsidRPr="003C24A0">
        <w:rPr>
          <w:rFonts w:ascii="Tahoma" w:hAnsi="Tahoma" w:cs="Tahoma"/>
          <w:b/>
        </w:rPr>
        <w:t>milhares de niteroienses possam buscar a formalização, legalizando suas edificações</w:t>
      </w:r>
      <w:r w:rsidRPr="003C24A0">
        <w:rPr>
          <w:rFonts w:ascii="Tahoma" w:hAnsi="Tahoma" w:cs="Tahoma"/>
        </w:rPr>
        <w:t>.</w:t>
      </w:r>
    </w:p>
    <w:p w:rsidR="003C24A0" w:rsidRPr="003C24A0" w:rsidRDefault="003C24A0">
      <w:pPr>
        <w:spacing w:line="360" w:lineRule="auto"/>
        <w:ind w:firstLine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O referido PL vem para </w:t>
      </w:r>
      <w:r w:rsidRPr="003C24A0">
        <w:rPr>
          <w:rFonts w:ascii="Tahoma" w:hAnsi="Tahoma" w:cs="Tahoma"/>
        </w:rPr>
        <w:t xml:space="preserve">regulamentar as diretrizes estabelecidas no Plano Diretor (PD) de Niterói e promover o ordenamento e direcionamento da expansão urbana no Município de </w:t>
      </w:r>
      <w:proofErr w:type="gramStart"/>
      <w:r w:rsidRPr="003C24A0">
        <w:rPr>
          <w:rFonts w:ascii="Tahoma" w:hAnsi="Tahoma" w:cs="Tahoma"/>
        </w:rPr>
        <w:t>Niterói preconizados</w:t>
      </w:r>
      <w:proofErr w:type="gramEnd"/>
      <w:r w:rsidRPr="003C24A0">
        <w:rPr>
          <w:rFonts w:ascii="Tahoma" w:hAnsi="Tahoma" w:cs="Tahoma"/>
        </w:rPr>
        <w:t xml:space="preserve"> tanto no PD de Niterói, quanto no Estatuto da Cidade.</w:t>
      </w:r>
    </w:p>
    <w:p w:rsidR="00685991" w:rsidRPr="00FE197C" w:rsidRDefault="00FE197C">
      <w:pPr>
        <w:spacing w:line="360" w:lineRule="auto"/>
        <w:ind w:firstLine="720"/>
        <w:jc w:val="both"/>
        <w:rPr>
          <w:rFonts w:ascii="Tahoma" w:hAnsi="Tahoma" w:cs="Tahoma"/>
          <w:b/>
        </w:rPr>
      </w:pPr>
      <w:r w:rsidRPr="00FE197C">
        <w:rPr>
          <w:rFonts w:ascii="Tahoma" w:hAnsi="Tahoma" w:cs="Tahoma"/>
        </w:rPr>
        <w:t xml:space="preserve">A Lei Urbanística de Niterói tem por finalidade promover a estruturação urbana do território municipal objetivando equilibrar os processos de produção e transformação do espaço urbano com o meio ambiente e mobilidade urbana sustentável, além de </w:t>
      </w:r>
      <w:r w:rsidRPr="00FE197C">
        <w:rPr>
          <w:rFonts w:ascii="Tahoma" w:hAnsi="Tahoma" w:cs="Tahoma"/>
          <w:b/>
        </w:rPr>
        <w:t xml:space="preserve">unificar e simplificar a legislação de parcelamento, uso, ocupação do solo e de licenciamento da atividade </w:t>
      </w:r>
      <w:proofErr w:type="gramStart"/>
      <w:r w:rsidRPr="00FE197C">
        <w:rPr>
          <w:rFonts w:ascii="Tahoma" w:hAnsi="Tahoma" w:cs="Tahoma"/>
          <w:b/>
        </w:rPr>
        <w:t>edilícia</w:t>
      </w:r>
      <w:proofErr w:type="gramEnd"/>
    </w:p>
    <w:p w:rsidR="00FE0047" w:rsidRDefault="0096211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Assim, a presente emenda visa </w:t>
      </w:r>
      <w:r w:rsidR="006B3516">
        <w:rPr>
          <w:rFonts w:ascii="Tahoma" w:eastAsia="Tahoma" w:hAnsi="Tahoma" w:cs="Tahoma"/>
        </w:rPr>
        <w:t xml:space="preserve">corroborar na simplificação e </w:t>
      </w:r>
      <w:r>
        <w:rPr>
          <w:rFonts w:ascii="Tahoma" w:eastAsia="Tahoma" w:hAnsi="Tahoma" w:cs="Tahoma"/>
        </w:rPr>
        <w:t>auxiliar na regulamentação das diretrizes estabelecidas no Plano Diretor (PD) de Niterói, no ordenamento e direcionamento da expansão urbana no Município, com a proteção da ambiência urbana e das áreas verdes, apontando pontos que precisam ser assegurados, buscando o melhor ordenamento e direcionamento da expansão urbana na cidade.</w:t>
      </w:r>
    </w:p>
    <w:p w:rsidR="00FE0047" w:rsidRDefault="0096211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O Município de Niterói deve ter um compromisso com as próximas gerações, entregando uma cidade economicamente mais desenvolvida, socialmente justa e ambientalmente preservada. </w:t>
      </w:r>
    </w:p>
    <w:p w:rsidR="00606D64" w:rsidRDefault="0096211F" w:rsidP="005952C8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</w:rPr>
        <w:t xml:space="preserve">Dessa forma, essa emenda se faz necessária, </w:t>
      </w:r>
      <w:r w:rsidR="006B3516">
        <w:rPr>
          <w:rFonts w:ascii="Tahoma" w:eastAsia="Tahoma" w:hAnsi="Tahoma" w:cs="Tahoma"/>
        </w:rPr>
        <w:t xml:space="preserve">para </w:t>
      </w:r>
      <w:r w:rsidR="006B3516" w:rsidRPr="00FE197C">
        <w:rPr>
          <w:rFonts w:ascii="Tahoma" w:hAnsi="Tahoma" w:cs="Tahoma"/>
          <w:b/>
        </w:rPr>
        <w:t>simplificar a legislação de parcelamento, uso, ocupação do solo e de licenciamento da atividade edilícia</w:t>
      </w:r>
      <w:r>
        <w:rPr>
          <w:rFonts w:ascii="Tahoma" w:eastAsia="Tahoma" w:hAnsi="Tahoma" w:cs="Tahoma"/>
        </w:rPr>
        <w:t>, assim conto com o apoio dos Nobres Pares para aprovação da presente emenda.</w:t>
      </w:r>
    </w:p>
    <w:sectPr w:rsidR="00606D64" w:rsidSect="00FE0047">
      <w:headerReference w:type="default" r:id="rId7"/>
      <w:footerReference w:type="default" r:id="rId8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11F" w:rsidRDefault="0096211F" w:rsidP="00FE0047">
      <w:r>
        <w:separator/>
      </w:r>
    </w:p>
  </w:endnote>
  <w:endnote w:type="continuationSeparator" w:id="1">
    <w:p w:rsidR="0096211F" w:rsidRDefault="0096211F" w:rsidP="00FE00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 RG</w:t>
    </w:r>
  </w:p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2620.1321</w:t>
    </w:r>
  </w:p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99315-2332</w:t>
    </w:r>
  </w:p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11F" w:rsidRDefault="0096211F" w:rsidP="00FE0047">
      <w:r>
        <w:separator/>
      </w:r>
    </w:p>
  </w:footnote>
  <w:footnote w:type="continuationSeparator" w:id="1">
    <w:p w:rsidR="0096211F" w:rsidRDefault="0096211F" w:rsidP="00FE00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047" w:rsidRDefault="00FE0047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8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FE0047">
      <w:trPr>
        <w:cantSplit/>
        <w:trHeight w:val="1971"/>
        <w:tblHeader/>
      </w:trPr>
      <w:tc>
        <w:tcPr>
          <w:tcW w:w="1728" w:type="dxa"/>
        </w:tcPr>
        <w:p w:rsidR="00FE0047" w:rsidRDefault="009621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E0047" w:rsidRDefault="009621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FE0047" w:rsidRDefault="009621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FE0047" w:rsidRDefault="00FE00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0047"/>
    <w:rsid w:val="001C168C"/>
    <w:rsid w:val="003C24A0"/>
    <w:rsid w:val="005562A1"/>
    <w:rsid w:val="005952C8"/>
    <w:rsid w:val="00606D64"/>
    <w:rsid w:val="00685991"/>
    <w:rsid w:val="006B3516"/>
    <w:rsid w:val="007B438E"/>
    <w:rsid w:val="007D58EB"/>
    <w:rsid w:val="007E2961"/>
    <w:rsid w:val="0096211F"/>
    <w:rsid w:val="00975E74"/>
    <w:rsid w:val="009C5633"/>
    <w:rsid w:val="00A45422"/>
    <w:rsid w:val="00B0179E"/>
    <w:rsid w:val="00B12403"/>
    <w:rsid w:val="00B617E6"/>
    <w:rsid w:val="00BC3C16"/>
    <w:rsid w:val="00C01FC8"/>
    <w:rsid w:val="00C02851"/>
    <w:rsid w:val="00C844D3"/>
    <w:rsid w:val="00D96C14"/>
    <w:rsid w:val="00DB3853"/>
    <w:rsid w:val="00F52359"/>
    <w:rsid w:val="00FA0F12"/>
    <w:rsid w:val="00FE0047"/>
    <w:rsid w:val="00FE1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FE00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FE00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FE0047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FE00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FE0047"/>
  </w:style>
  <w:style w:type="table" w:customStyle="1" w:styleId="TableNormal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FE00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FE0047"/>
  </w:style>
  <w:style w:type="table" w:customStyle="1" w:styleId="TableNormal0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FE0047"/>
  </w:style>
  <w:style w:type="table" w:customStyle="1" w:styleId="TableNormal1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"/>
    <w:rsid w:val="00FE0047"/>
  </w:style>
  <w:style w:type="table" w:customStyle="1" w:styleId="TableNormal2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"/>
    <w:rsid w:val="00FE0047"/>
  </w:style>
  <w:style w:type="table" w:customStyle="1" w:styleId="TableNormal3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"/>
    <w:rsid w:val="00FE0047"/>
  </w:style>
  <w:style w:type="table" w:customStyle="1" w:styleId="TableNormal4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"/>
    <w:rsid w:val="00FE0047"/>
  </w:style>
  <w:style w:type="table" w:customStyle="1" w:styleId="TableNormal5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rsid w:val="00FE0047"/>
  </w:style>
  <w:style w:type="table" w:customStyle="1" w:styleId="TableNormal6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E00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6"/>
    <w:rsid w:val="00FE004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6"/>
    <w:rsid w:val="00FE004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+B64efFok6mIg50lFEVQjgeG8mw==">AMUW2mXqEczbe1WKCc1XHMfpAnxMo62v8B3WJgNzVay98GCso2aC7endiZQA0gb3ePk40PzyeAFH3pJ66r0sMppuvjO8U9YkZzFW6N0PuFVMK1CkieW6Cdc=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425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2024-02-15T19:15:00Z</cp:lastPrinted>
  <dcterms:created xsi:type="dcterms:W3CDTF">2024-02-16T18:01:00Z</dcterms:created>
  <dcterms:modified xsi:type="dcterms:W3CDTF">2024-02-16T18:01:00Z</dcterms:modified>
</cp:coreProperties>
</file>