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</w:t>
      </w:r>
      <w:r w:rsidDel="00000000" w:rsidR="00000000" w:rsidRPr="00000000">
        <w:rPr>
          <w:b w:val="1"/>
          <w:rtl w:val="0"/>
        </w:rPr>
        <w:t xml:space="preserve">221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b w:val="1"/>
          <w:rtl w:val="0"/>
        </w:rPr>
        <w:t xml:space="preserve">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</w:t>
      </w:r>
      <w:r w:rsidDel="00000000" w:rsidR="00000000" w:rsidRPr="00000000">
        <w:rPr>
          <w:b w:val="1"/>
          <w:rtl w:val="0"/>
        </w:rPr>
        <w:t xml:space="preserve">221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b w:val="1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Altera-se o mapa 1</w:t>
      </w:r>
      <w:r w:rsidDel="00000000" w:rsidR="00000000" w:rsidRPr="00000000">
        <w:rPr>
          <w:rtl w:val="0"/>
        </w:rPr>
        <w:t xml:space="preserve">, 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ubstituindo-se o zoneamento proposto ZUM+8 ao longo da Av. Raul de Oliveira Rodrigues (antiga Av. Sete) por ZRU no seu lado esquerdo, no sentido do túnel Charitas-Cafubá para o trevo Multicenter; por ZEIS na direita da Avenida, na quadra mais próxima à Lagoa e por ZRU na área restante deste mesmo lado (direito).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ind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spacing w:line="240" w:lineRule="auto"/>
        <w:ind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0"/>
        <w:rPr/>
      </w:pPr>
      <w:r w:rsidDel="00000000" w:rsidR="00000000" w:rsidRPr="00000000">
        <w:rPr>
          <w:rtl w:val="0"/>
        </w:rPr>
        <w:tab/>
        <w:t xml:space="preserve">O Plano Urbanístico Regional da Região Oceânica (Lei N.º 1.968/2002), em sua seção V, Artigos 109 e 110, estabelece o que a região abrangida por esta emenda é para uso residencial individual, com gabarito máximo de 02 (dois) pavimentos, mais cobertura, taxa máxima de ocupação igual a 60% (sessenta por cento). </w:t>
      </w:r>
    </w:p>
    <w:p w:rsidR="00000000" w:rsidDel="00000000" w:rsidP="00000000" w:rsidRDefault="00000000" w:rsidRPr="00000000" w14:paraId="0000000D">
      <w:pPr>
        <w:ind w:firstLine="720"/>
        <w:rPr/>
      </w:pPr>
      <w:r w:rsidDel="00000000" w:rsidR="00000000" w:rsidRPr="00000000">
        <w:rPr>
          <w:rtl w:val="0"/>
        </w:rPr>
        <w:t xml:space="preserve">Os parâmetros propostos nas diretrizes do próprio Projeto de Lei N.º 221/2023 estabelecem que o adensamento deve ser realizado nas centralidades e no entorno dos grandes eixos de mobilidade da cidade,conforme descrito acima.</w:t>
      </w:r>
    </w:p>
    <w:p w:rsidR="00000000" w:rsidDel="00000000" w:rsidP="00000000" w:rsidRDefault="00000000" w:rsidRPr="00000000" w14:paraId="0000000E">
      <w:pPr>
        <w:ind w:firstLine="720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Configura, portanto, um retrocesso permitir e incentivar o adensamento numa região distante e carente de infraestrutura de trânsito, como é o caso da região aqui delimitada no bairro de Piratininga. O aumento de gabarito num local que sofre sistematicamente com engarrafamentos, além de alterar as características tradicionais que moradores lutam para preservar, aumentaria a emissão de poluentes e, evidentemente, pioraria o fluxo do trânsito. É, portanto, fundamental garantir a permanência do gabarito baixo com a ZRU e assegurar a ZEIS para proteção dos moradores e das características do local.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 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dSQiCl0c7zcMzwWmuOZcclCgTg==">CgMxLjAyCGguZ2pkZ3hzMg5oLmp5dDU5eHE3cm5vNzgAciExeHFET2R3T0tpMXgxZXEtVHlHNWlxeWhjVTVQaWhMdDk=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2023-11-24T01:22:00Z</dcterms:created>
  <dc:creator>vereador renatinho</dc:creator>
</cp:coreProperties>
</file>