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PROJETO DE LEI Nº 221/2023</w:t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EMENDA ADITIVA Nº 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ind w:left="5103" w:firstLine="0"/>
        <w:jc w:val="both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ind w:left="5103" w:firstLine="0"/>
        <w:jc w:val="both"/>
        <w:rPr>
          <w:b w:val="1"/>
          <w:color w:val="000000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Fica adicionado o art. 77 ao Projeto de Lei nº 221/2023, sendo renumerados os seguintes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jc w:val="both"/>
        <w:rPr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 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Art. 1º.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Fica adicionado o art. 77</w:t>
      </w:r>
      <w:r w:rsidDel="00000000" w:rsidR="00000000" w:rsidRPr="00000000">
        <w:rPr>
          <w:rFonts w:ascii="Arial" w:cs="Arial" w:eastAsia="Arial" w:hAnsi="Arial"/>
          <w:rtl w:val="0"/>
        </w:rPr>
        <w:t xml:space="preserve"> no Capítulo II d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o Projeto de Lei nº 221/2023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com a seguinte redação, renumerando-se os seguintes: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hd w:fill="ffffff" w:val="clear"/>
        <w:spacing w:after="160" w:lineRule="auto"/>
        <w:ind w:left="993" w:firstLine="0"/>
        <w:jc w:val="both"/>
        <w:rPr>
          <w:rFonts w:ascii="Arial" w:cs="Arial" w:eastAsia="Arial" w:hAnsi="Arial"/>
          <w:i w:val="1"/>
        </w:rPr>
      </w:pP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“Art. 77. Fica vedada, no mobiliário urbano e nos espaços livres de uso público urbanos localizados em quaisquer das zonas de que trata esta Lei, a utilização de artifícios arquitetônicos de intervenção hostil destinados a impedir a permanência de pessoas em espaço público ou aberto ao público, capazes de causar desconforto, ofender moralmente ou provocar injúria física.</w:t>
      </w:r>
    </w:p>
    <w:p w:rsidR="00000000" w:rsidDel="00000000" w:rsidP="00000000" w:rsidRDefault="00000000" w:rsidRPr="00000000" w14:paraId="0000000C">
      <w:pPr>
        <w:shd w:fill="ffffff" w:val="clear"/>
        <w:spacing w:after="160" w:lineRule="auto"/>
        <w:ind w:left="993" w:firstLine="0"/>
        <w:jc w:val="both"/>
        <w:rPr>
          <w:rFonts w:ascii="Arial" w:cs="Arial" w:eastAsia="Arial" w:hAnsi="Arial"/>
          <w:i w:val="1"/>
        </w:rPr>
      </w:pP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§ 1º Entende-se por mobiliário urbano o conjunto de objetos existentes nas vias, nos espaços públicos, superpostos ou adicionados aos elementos de urbanização ou de edificação</w:t>
      </w:r>
    </w:p>
    <w:p w:rsidR="00000000" w:rsidDel="00000000" w:rsidP="00000000" w:rsidRDefault="00000000" w:rsidRPr="00000000" w14:paraId="0000000D">
      <w:pPr>
        <w:shd w:fill="ffffff" w:val="clear"/>
        <w:spacing w:after="160" w:lineRule="auto"/>
        <w:ind w:left="993" w:firstLine="0"/>
        <w:jc w:val="both"/>
        <w:rPr>
          <w:rFonts w:ascii="Arial" w:cs="Arial" w:eastAsia="Arial" w:hAnsi="Arial"/>
          <w:i w:val="1"/>
        </w:rPr>
      </w:pP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§ 2º Entende-se por sistemas de espaços livres todo o tipo de espaço livre de edificação, independentemente de seu tamanho, forma, estética, localização e função, e que surge da relação entre os espaços livres de propriedade pública e de propriedade privada, tais como ruas, calçadas, canteiros e ilhas de sistemas viários, praças, jardins, estacionamentos entre outros.</w:t>
      </w:r>
    </w:p>
    <w:p w:rsidR="00000000" w:rsidDel="00000000" w:rsidP="00000000" w:rsidRDefault="00000000" w:rsidRPr="00000000" w14:paraId="0000000E">
      <w:pPr>
        <w:shd w:fill="ffffff" w:val="clear"/>
        <w:spacing w:after="160" w:lineRule="auto"/>
        <w:ind w:left="993" w:firstLine="0"/>
        <w:jc w:val="both"/>
        <w:rPr>
          <w:rFonts w:ascii="Arial" w:cs="Arial" w:eastAsia="Arial" w:hAnsi="Arial"/>
          <w:i w:val="1"/>
        </w:rPr>
      </w:pP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§ 3º Entende-se por intervenção hostil a instalação de equipamentos urbanos como espetos e pinos metálicos pontudos; pavimentações irregulares; plataformas inclinadas; pedras ásperas e pontiagudas; bancos sem encosto, ondulados ou com divisórias; regadores, chuveiros e jatos d'água; cercas eletrificadas ou de arame farpado; muros altos com cacos de vidro; plataformas móveis inclinadas; blocos ou cilindros de concreto nas calçadas; dispositivos “antiskate” ou outros mecanismos que visem afastar o uso dos espaços livres de uso público urbanos pelas pessoas em situação de rua e outros segmentos da população.</w:t>
      </w:r>
    </w:p>
    <w:p w:rsidR="00000000" w:rsidDel="00000000" w:rsidP="00000000" w:rsidRDefault="00000000" w:rsidRPr="00000000" w14:paraId="0000000F">
      <w:pPr>
        <w:shd w:fill="ffffff" w:val="clear"/>
        <w:spacing w:after="160" w:lineRule="auto"/>
        <w:ind w:left="993" w:firstLine="0"/>
        <w:jc w:val="both"/>
        <w:rPr>
          <w:rFonts w:ascii="Arial" w:cs="Arial" w:eastAsia="Arial" w:hAnsi="Arial"/>
          <w:i w:val="1"/>
        </w:rPr>
      </w:pPr>
      <w:r w:rsidDel="00000000" w:rsidR="00000000" w:rsidRPr="00000000">
        <w:rPr>
          <w:rFonts w:ascii="Arial" w:cs="Arial" w:eastAsia="Arial" w:hAnsi="Arial"/>
          <w:i w:val="1"/>
          <w:highlight w:val="white"/>
          <w:rtl w:val="0"/>
        </w:rPr>
        <w:t xml:space="preserve">§ 4º A</w:t>
      </w: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 arquitetura urbana dos espaços livres de uso público deverá promover conforto, abrigo, descanso, bem-estar e acessibilidade na fruição dos espaços livres de uso público, de seu mobiliário e de suas interfaces com os espaços de uso privado</w:t>
      </w:r>
    </w:p>
    <w:p w:rsidR="00000000" w:rsidDel="00000000" w:rsidP="00000000" w:rsidRDefault="00000000" w:rsidRPr="00000000" w14:paraId="00000010">
      <w:pPr>
        <w:shd w:fill="ffffff" w:val="clear"/>
        <w:spacing w:after="160" w:lineRule="auto"/>
        <w:ind w:left="993" w:firstLine="0"/>
        <w:jc w:val="both"/>
        <w:rPr>
          <w:rFonts w:ascii="Arial" w:cs="Arial" w:eastAsia="Arial" w:hAnsi="Arial"/>
          <w:i w:val="1"/>
        </w:rPr>
      </w:pP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§ 5º Os equipamentos urbanos porventura equipadas com algum dos equipamentos § antissociais mencionados no </w:t>
      </w:r>
      <w:r w:rsidDel="00000000" w:rsidR="00000000" w:rsidRPr="00000000">
        <w:rPr>
          <w:rFonts w:ascii="Arial" w:cs="Arial" w:eastAsia="Arial" w:hAnsi="Arial"/>
          <w:rtl w:val="0"/>
        </w:rPr>
        <w:t xml:space="preserve">caput</w:t>
      </w: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 terão 120 (cento e vinte) dias a partir da publicação desta Lei para retirá-los, sob pena de multa a ser definida em regulamento próprio.”</w:t>
      </w:r>
    </w:p>
    <w:p w:rsidR="00000000" w:rsidDel="00000000" w:rsidP="00000000" w:rsidRDefault="00000000" w:rsidRPr="00000000" w14:paraId="00000011">
      <w:pPr>
        <w:shd w:fill="ffffff" w:val="clear"/>
        <w:spacing w:after="160" w:lineRule="auto"/>
        <w:ind w:left="993" w:firstLine="0"/>
        <w:jc w:val="both"/>
        <w:rPr>
          <w:rFonts w:ascii="Arial" w:cs="Arial" w:eastAsia="Arial" w:hAnsi="Arial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spacing w:after="160" w:lineRule="auto"/>
        <w:jc w:val="both"/>
        <w:rPr>
          <w:rFonts w:ascii="Arial" w:cs="Arial" w:eastAsia="Arial" w:hAnsi="Arial"/>
          <w:color w:val="222222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Arial" w:cs="Arial" w:eastAsia="Arial" w:hAnsi="Arial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color w:val="222222"/>
          <w:rtl w:val="0"/>
        </w:rPr>
        <w:tab/>
      </w:r>
      <w:r w:rsidDel="00000000" w:rsidR="00000000" w:rsidRPr="00000000">
        <w:rPr>
          <w:rFonts w:ascii="Arial" w:cs="Arial" w:eastAsia="Arial" w:hAnsi="Arial"/>
          <w:rtl w:val="0"/>
        </w:rPr>
        <w:t xml:space="preserve">Niterói exibe hoje, assim como outras cidades, exemplos daquilo que se convencionou chamar de arquitetura da exclusão. São muitos e variados artifícios arquitetônicos construídos e dispostos de modo a afastar pessoas indesejáveis, tais como os bancos de praça com braços de aço para impedir que alguém se deite neles, grades na beirada de edifícios e jatos d'água de marquises, sobre a calçada, entre outros equipamentos com a mesma finalidade. </w:t>
      </w:r>
    </w:p>
    <w:p w:rsidR="00000000" w:rsidDel="00000000" w:rsidP="00000000" w:rsidRDefault="00000000" w:rsidRPr="00000000" w14:paraId="00000015">
      <w:pPr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 objetivo de todos eles é o mesmo: afastar o ser humano indesejável. Algumas dessas "inovações" ainda não são encontradas na nossa cidade, mas terminarão por se tornarem comuns em pouco tempo, dada a velocidade dos meios de comunicação atuais e a globalização. </w:t>
      </w:r>
    </w:p>
    <w:p w:rsidR="00000000" w:rsidDel="00000000" w:rsidP="00000000" w:rsidRDefault="00000000" w:rsidRPr="00000000" w14:paraId="00000017">
      <w:pPr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Para que esses equipamentos antissociais não se tornem comuns também na nossa cidade, aumentando a sensação de hostilidade e diminuindo o convívio social, propomos estas medidas de natureza preventiva.</w:t>
        <w:tab/>
      </w:r>
    </w:p>
    <w:p w:rsidR="00000000" w:rsidDel="00000000" w:rsidP="00000000" w:rsidRDefault="00000000" w:rsidRPr="00000000" w14:paraId="00000019">
      <w:pPr>
        <w:jc w:val="righ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Plenário Brígido Tinoco, 21 de novembro de 2023</w:t>
      </w:r>
    </w:p>
    <w:p w:rsidR="00000000" w:rsidDel="00000000" w:rsidP="00000000" w:rsidRDefault="00000000" w:rsidRPr="00000000" w14:paraId="0000001A">
      <w:pPr>
        <w:jc w:val="righ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righ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righ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Professor Tulio</w:t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                                  Renato Cariello                                               Anderson Pipico</w:t>
      </w:r>
    </w:p>
    <w:p w:rsidR="00000000" w:rsidDel="00000000" w:rsidP="00000000" w:rsidRDefault="00000000" w:rsidRPr="00000000" w14:paraId="00000024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                            Paulo Eduardo Gomes                                            Benny Briolly</w:t>
      </w:r>
    </w:p>
    <w:p w:rsidR="00000000" w:rsidDel="00000000" w:rsidP="00000000" w:rsidRDefault="00000000" w:rsidRPr="00000000" w14:paraId="00000029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                                  Daniel Marques                                                 Fabiano Gonçalvez</w:t>
      </w:r>
    </w:p>
    <w:p w:rsidR="00000000" w:rsidDel="00000000" w:rsidP="00000000" w:rsidRDefault="00000000" w:rsidRPr="00000000" w14:paraId="0000002E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_______________          _______________          _______________</w:t>
      </w:r>
    </w:p>
    <w:p w:rsidR="00000000" w:rsidDel="00000000" w:rsidP="00000000" w:rsidRDefault="00000000" w:rsidRPr="00000000" w14:paraId="00000033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_______________          _______________          _______________</w:t>
      </w:r>
    </w:p>
    <w:p w:rsidR="00000000" w:rsidDel="00000000" w:rsidP="00000000" w:rsidRDefault="00000000" w:rsidRPr="00000000" w14:paraId="00000038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_______________          _______________          _______________</w:t>
      </w:r>
    </w:p>
    <w:p w:rsidR="00000000" w:rsidDel="00000000" w:rsidP="00000000" w:rsidRDefault="00000000" w:rsidRPr="00000000" w14:paraId="0000003D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_______________          _______________          _______________</w:t>
      </w:r>
    </w:p>
    <w:p w:rsidR="00000000" w:rsidDel="00000000" w:rsidP="00000000" w:rsidRDefault="00000000" w:rsidRPr="00000000" w14:paraId="00000042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_______________          _______________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851" w:top="851" w:left="851" w:right="85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both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8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Arial" w:cs="Arial" w:eastAsia="Arial" w:hAnsi="Arial"/>
      </w:rPr>
    </w:pPr>
    <w:r w:rsidDel="00000000" w:rsidR="00000000" w:rsidRPr="00000000">
      <w:rPr>
        <w:rtl w:val="0"/>
      </w:rPr>
    </w:r>
  </w:p>
  <w:tbl>
    <w:tblPr>
      <w:tblStyle w:val="Table1"/>
      <w:tblW w:w="9648.0" w:type="dxa"/>
      <w:jc w:val="left"/>
      <w:tblLayout w:type="fixed"/>
      <w:tblLook w:val="0000"/>
    </w:tblPr>
    <w:tblGrid>
      <w:gridCol w:w="1728"/>
      <w:gridCol w:w="7920"/>
      <w:tblGridChange w:id="0">
        <w:tblGrid>
          <w:gridCol w:w="1728"/>
          <w:gridCol w:w="7920"/>
        </w:tblGrid>
      </w:tblGridChange>
    </w:tblGrid>
    <w:tr>
      <w:trPr>
        <w:cantSplit w:val="0"/>
        <w:trHeight w:val="1701" w:hRule="atLeast"/>
        <w:tblHeader w:val="0"/>
      </w:trPr>
      <w:tc>
        <w:tcPr/>
        <w:p w:rsidR="00000000" w:rsidDel="00000000" w:rsidP="00000000" w:rsidRDefault="00000000" w:rsidRPr="00000000" w14:paraId="00000049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rPr>
              <w:color w:val="000000"/>
            </w:rPr>
          </w:pPr>
          <w:r w:rsidDel="00000000" w:rsidR="00000000" w:rsidRPr="00000000">
            <w:rPr>
              <w:color w:val="000000"/>
            </w:rPr>
            <w:drawing>
              <wp:inline distB="0" distT="0" distL="0" distR="0">
                <wp:extent cx="838200" cy="1000125"/>
                <wp:effectExtent b="0" l="0" r="0" t="0"/>
                <wp:docPr descr="Logo CMN" id="3" name="image1.jpg"/>
                <a:graphic>
                  <a:graphicData uri="http://schemas.openxmlformats.org/drawingml/2006/picture">
                    <pic:pic>
                      <pic:nvPicPr>
                        <pic:cNvPr descr="Logo CMN"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8200" cy="100012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4A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rPr>
              <w:rFonts w:ascii="Arial" w:cs="Arial" w:eastAsia="Arial" w:hAnsi="Arial"/>
              <w:color w:val="000000"/>
              <w:sz w:val="22"/>
              <w:szCs w:val="22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B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Tahoma" w:cs="Tahoma" w:eastAsia="Tahoma" w:hAnsi="Tahoma"/>
              <w:b w:val="1"/>
              <w:color w:val="000000"/>
              <w:sz w:val="40"/>
              <w:szCs w:val="40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0"/>
              <w:sz w:val="48"/>
              <w:szCs w:val="48"/>
              <w:rtl w:val="0"/>
            </w:rPr>
            <w:t xml:space="preserve">Câmara Municipal de Niterói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C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Tahoma" w:cs="Tahoma" w:eastAsia="Tahoma" w:hAnsi="Tahoma"/>
              <w:color w:val="000000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D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Tahoma" w:cs="Tahoma" w:eastAsia="Tahoma" w:hAnsi="Tahoma"/>
              <w:b w:val="1"/>
              <w:color w:val="000000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Comissão Permanente de Defesa dos Direitos da Juventude, do Idoso e da Pessoa com Deficiência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E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rPr>
              <w:color w:val="000000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color w:val="000000"/>
        <w:sz w:val="4"/>
        <w:szCs w:val="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2C6FCD"/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Cabealho">
    <w:name w:val="header"/>
    <w:basedOn w:val="Normal"/>
    <w:link w:val="CabealhoChar"/>
    <w:rsid w:val="002C6FCD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rsid w:val="002C6FCD"/>
    <w:rPr>
      <w:rFonts w:ascii="Times New Roman" w:cs="Times New Roman" w:eastAsia="Times New Roman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2C6FCD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rsid w:val="002C6FCD"/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rsid w:val="002C6FC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2C6FCD"/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2C6FCD"/>
    <w:rPr>
      <w:rFonts w:ascii="Tahoma" w:cs="Tahoma" w:eastAsia="Times New Roman" w:hAnsi="Tahoma"/>
      <w:sz w:val="16"/>
      <w:szCs w:val="16"/>
      <w:lang w:eastAsia="pt-BR"/>
    </w:rPr>
  </w:style>
  <w:style w:type="paragraph" w:styleId="m-5589025056147321180gmail-msonospacing" w:customStyle="1">
    <w:name w:val="m_-5589025056147321180gmail-msonospacing"/>
    <w:basedOn w:val="Normal"/>
    <w:rsid w:val="00204AD3"/>
    <w:pPr>
      <w:spacing w:after="100" w:afterAutospacing="1" w:before="100" w:beforeAutospacing="1"/>
    </w:pPr>
  </w:style>
  <w:style w:type="character" w:styleId="Refdenotaderodap">
    <w:name w:val="footnote reference"/>
    <w:uiPriority w:val="99"/>
    <w:semiHidden w:val="1"/>
    <w:unhideWhenUsed w:val="1"/>
    <w:rsid w:val="00A64E7E"/>
    <w:rPr>
      <w:vertAlign w:val="superscript"/>
    </w:rPr>
  </w:style>
  <w:style w:type="paragraph" w:styleId="NormalWeb">
    <w:name w:val="Normal (Web)"/>
    <w:basedOn w:val="Normal"/>
    <w:uiPriority w:val="99"/>
    <w:semiHidden w:val="1"/>
    <w:unhideWhenUsed w:val="1"/>
    <w:rsid w:val="00904B44"/>
    <w:pPr>
      <w:spacing w:after="100" w:afterAutospacing="1" w:before="100" w:beforeAutospacing="1"/>
    </w:p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XMB9t6jZH+VjyMMS4JVPpEURjw==">CgMxLjAyCGguZ2pkZ3hzOAByITFwaTQ4ZU90SmNHdUI3TkRIdkI4TTZneFhPbno5TDExQQ==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2023-11-21T18:26:00Z</dcterms:created>
  <dc:creator>Paulo Eduardo</dc:creator>
</cp:coreProperties>
</file>