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342B5" w:rsidRDefault="005918D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Emenda Nº      /2023</w:t>
      </w:r>
    </w:p>
    <w:p w:rsidR="00F342B5" w:rsidRDefault="00F342B5">
      <w:pPr>
        <w:rPr>
          <w:rFonts w:ascii="Tahoma" w:eastAsia="Tahoma" w:hAnsi="Tahoma" w:cs="Tahoma"/>
          <w:b/>
        </w:rPr>
      </w:pPr>
    </w:p>
    <w:p w:rsidR="00F342B5" w:rsidRDefault="00DF51F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 xml:space="preserve">Aditiva ao Projeto de Lei Nº. </w:t>
      </w:r>
      <w:r w:rsidR="00EB13C8">
        <w:rPr>
          <w:rFonts w:ascii="Tahoma" w:eastAsia="Tahoma" w:hAnsi="Tahoma" w:cs="Tahoma"/>
          <w:b/>
          <w:color w:val="000000"/>
        </w:rPr>
        <w:t>22</w:t>
      </w:r>
      <w:r w:rsidR="005918D5">
        <w:rPr>
          <w:rFonts w:ascii="Tahoma" w:eastAsia="Tahoma" w:hAnsi="Tahoma" w:cs="Tahoma"/>
          <w:b/>
          <w:color w:val="000000"/>
        </w:rPr>
        <w:t>1</w:t>
      </w:r>
      <w:r>
        <w:rPr>
          <w:rFonts w:ascii="Tahoma" w:eastAsia="Tahoma" w:hAnsi="Tahoma" w:cs="Tahoma"/>
          <w:b/>
          <w:color w:val="000000"/>
        </w:rPr>
        <w:t>/202</w:t>
      </w:r>
      <w:r w:rsidR="00EB13C8">
        <w:rPr>
          <w:rFonts w:ascii="Tahoma" w:eastAsia="Tahoma" w:hAnsi="Tahoma" w:cs="Tahoma"/>
          <w:b/>
          <w:color w:val="000000"/>
        </w:rPr>
        <w:t>3</w:t>
      </w:r>
    </w:p>
    <w:p w:rsidR="00F342B5" w:rsidRDefault="00DF51F5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  </w:t>
      </w:r>
    </w:p>
    <w:p w:rsidR="00F342B5" w:rsidRDefault="00DF51F5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 </w:t>
      </w:r>
    </w:p>
    <w:p w:rsidR="00F342B5" w:rsidRDefault="00F342B5">
      <w:pPr>
        <w:jc w:val="center"/>
        <w:rPr>
          <w:rFonts w:ascii="Tahoma" w:eastAsia="Tahoma" w:hAnsi="Tahoma" w:cs="Tahoma"/>
        </w:rPr>
      </w:pPr>
    </w:p>
    <w:p w:rsidR="00F342B5" w:rsidRDefault="00DF51F5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highlight w:val="white"/>
        </w:rPr>
      </w:pPr>
      <w:r>
        <w:rPr>
          <w:rFonts w:ascii="Tahoma" w:eastAsia="Tahoma" w:hAnsi="Tahoma" w:cs="Tahoma"/>
          <w:b/>
        </w:rPr>
        <w:t xml:space="preserve">Acrescenta-se o § </w:t>
      </w:r>
      <w:r w:rsidR="005918D5">
        <w:rPr>
          <w:rFonts w:ascii="Tahoma" w:eastAsia="Tahoma" w:hAnsi="Tahoma" w:cs="Tahoma"/>
          <w:b/>
        </w:rPr>
        <w:t>3</w:t>
      </w:r>
      <w:r>
        <w:rPr>
          <w:rFonts w:ascii="Tahoma" w:eastAsia="Tahoma" w:hAnsi="Tahoma" w:cs="Tahoma"/>
          <w:b/>
        </w:rPr>
        <w:t>º - instrumento do Pagamento por Serviços Ambientais (PSA), ao Art. 20,</w:t>
      </w:r>
      <w:r w:rsidR="00EB13C8">
        <w:rPr>
          <w:rFonts w:ascii="Tahoma" w:eastAsia="Tahoma" w:hAnsi="Tahoma" w:cs="Tahoma"/>
          <w:b/>
        </w:rPr>
        <w:t xml:space="preserve"> </w:t>
      </w:r>
      <w:r>
        <w:rPr>
          <w:rFonts w:ascii="Tahoma" w:eastAsia="Tahoma" w:hAnsi="Tahoma" w:cs="Tahoma"/>
          <w:b/>
        </w:rPr>
        <w:t>DAS ZONAS INTEGRANTES DOS TERRITÓRIOS DE PRESERVAÇÃO, CAPÍTULO III, DAS ZONAS DE USO, TÍTULO II,</w:t>
      </w:r>
      <w:r>
        <w:rPr>
          <w:rFonts w:ascii="Tahoma" w:eastAsia="Tahoma" w:hAnsi="Tahoma" w:cs="Tahoma"/>
        </w:rPr>
        <w:t xml:space="preserve"> ao Projeto de Lei Nº </w:t>
      </w:r>
      <w:r w:rsidR="00EB13C8">
        <w:rPr>
          <w:rFonts w:ascii="Tahoma" w:eastAsia="Tahoma" w:hAnsi="Tahoma" w:cs="Tahoma"/>
        </w:rPr>
        <w:t>22</w:t>
      </w:r>
      <w:r w:rsidR="005918D5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EB13C8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>.</w:t>
      </w:r>
    </w:p>
    <w:p w:rsidR="00F342B5" w:rsidRDefault="00F342B5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F342B5" w:rsidRDefault="00F342B5">
      <w:pPr>
        <w:ind w:left="567"/>
        <w:jc w:val="both"/>
        <w:rPr>
          <w:rFonts w:ascii="Tahoma" w:eastAsia="Tahoma" w:hAnsi="Tahoma" w:cs="Tahoma"/>
        </w:rPr>
      </w:pPr>
    </w:p>
    <w:p w:rsidR="00F342B5" w:rsidRDefault="00DF51F5">
      <w:pPr>
        <w:spacing w:line="360" w:lineRule="auto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 xml:space="preserve">Art.1º - Acrescenta-se o § </w:t>
      </w:r>
      <w:r w:rsidR="005918D5">
        <w:rPr>
          <w:rFonts w:ascii="Tahoma" w:eastAsia="Tahoma" w:hAnsi="Tahoma" w:cs="Tahoma"/>
          <w:b/>
        </w:rPr>
        <w:t>3</w:t>
      </w:r>
      <w:r>
        <w:rPr>
          <w:rFonts w:ascii="Tahoma" w:eastAsia="Tahoma" w:hAnsi="Tahoma" w:cs="Tahoma"/>
          <w:b/>
        </w:rPr>
        <w:t>º - instrumento do Pagamento por Serviços Ambientais (PSA), ao Art. 20, DAS ZONAS INTEGRANTES DOS TERRITÓRIOS DE PRESERVAÇÃO, CAPÍTULO III, DAS ZONAS DE USO, TÍTULO II,</w:t>
      </w:r>
      <w:r>
        <w:rPr>
          <w:rFonts w:ascii="Tahoma" w:eastAsia="Tahoma" w:hAnsi="Tahoma" w:cs="Tahoma"/>
        </w:rPr>
        <w:t xml:space="preserve"> ao Projeto de Lei Nº </w:t>
      </w:r>
      <w:r w:rsidR="00EB13C8">
        <w:rPr>
          <w:rFonts w:ascii="Tahoma" w:eastAsia="Tahoma" w:hAnsi="Tahoma" w:cs="Tahoma"/>
        </w:rPr>
        <w:t>22</w:t>
      </w:r>
      <w:r w:rsidR="005918D5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EB13C8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obras, como segue:</w:t>
      </w:r>
    </w:p>
    <w:p w:rsidR="00F342B5" w:rsidRDefault="00F342B5">
      <w:pPr>
        <w:spacing w:line="360" w:lineRule="auto"/>
        <w:jc w:val="both"/>
      </w:pPr>
    </w:p>
    <w:p w:rsidR="00F342B5" w:rsidRDefault="00F342B5">
      <w:pPr>
        <w:spacing w:line="360" w:lineRule="auto"/>
        <w:ind w:firstLine="720"/>
        <w:jc w:val="both"/>
        <w:rPr>
          <w:rFonts w:ascii="Tahoma" w:eastAsia="Tahoma" w:hAnsi="Tahoma" w:cs="Tahoma"/>
          <w:b/>
        </w:rPr>
      </w:pPr>
    </w:p>
    <w:p w:rsidR="00F342B5" w:rsidRDefault="00F342B5">
      <w:pPr>
        <w:spacing w:line="360" w:lineRule="auto"/>
        <w:ind w:firstLine="720"/>
        <w:jc w:val="both"/>
        <w:rPr>
          <w:rFonts w:ascii="Tahoma" w:eastAsia="Tahoma" w:hAnsi="Tahoma" w:cs="Tahoma"/>
          <w:b/>
        </w:rPr>
      </w:pPr>
    </w:p>
    <w:p w:rsidR="00F342B5" w:rsidRDefault="00F342B5">
      <w:pPr>
        <w:spacing w:line="360" w:lineRule="auto"/>
        <w:ind w:firstLine="720"/>
        <w:jc w:val="both"/>
        <w:rPr>
          <w:rFonts w:ascii="Tahoma" w:eastAsia="Tahoma" w:hAnsi="Tahoma" w:cs="Tahoma"/>
          <w:b/>
        </w:rPr>
      </w:pPr>
    </w:p>
    <w:p w:rsidR="00F342B5" w:rsidRDefault="00F342B5">
      <w:pPr>
        <w:spacing w:line="360" w:lineRule="auto"/>
        <w:ind w:firstLine="720"/>
        <w:jc w:val="both"/>
        <w:rPr>
          <w:rFonts w:ascii="Tahoma" w:eastAsia="Tahoma" w:hAnsi="Tahoma" w:cs="Tahoma"/>
          <w:b/>
        </w:rPr>
      </w:pPr>
    </w:p>
    <w:p w:rsidR="00F342B5" w:rsidRDefault="00F342B5">
      <w:pPr>
        <w:spacing w:line="360" w:lineRule="auto"/>
        <w:ind w:firstLine="720"/>
        <w:jc w:val="both"/>
        <w:rPr>
          <w:rFonts w:ascii="Tahoma" w:eastAsia="Tahoma" w:hAnsi="Tahoma" w:cs="Tahoma"/>
          <w:b/>
        </w:rPr>
      </w:pPr>
    </w:p>
    <w:p w:rsidR="00F342B5" w:rsidRDefault="00DF51F5">
      <w:pPr>
        <w:spacing w:line="360" w:lineRule="auto"/>
        <w:ind w:firstLine="720"/>
        <w:jc w:val="both"/>
        <w:rPr>
          <w:rFonts w:ascii="Tahoma" w:eastAsia="Tahoma" w:hAnsi="Tahoma" w:cs="Tahoma"/>
          <w:color w:val="444444"/>
        </w:rPr>
      </w:pPr>
      <w:r>
        <w:rPr>
          <w:rFonts w:ascii="Tahoma" w:eastAsia="Tahoma" w:hAnsi="Tahoma" w:cs="Tahoma"/>
          <w:b/>
        </w:rPr>
        <w:t>§ 1º</w:t>
      </w:r>
      <w:r>
        <w:rPr>
          <w:rFonts w:ascii="Tahoma" w:eastAsia="Tahoma" w:hAnsi="Tahoma" w:cs="Tahoma"/>
          <w:color w:val="444444"/>
        </w:rPr>
        <w:t xml:space="preserve"> Com o objetivo de promover e incentivar a preservação das ocorrências ambientais que caracterizam as áreas demarcadas como ZPA, o instrumento do Pagamento por Serviços Ambientais (PSA), poderá ser aplicado nas ZPA localizadas em qualquer </w:t>
      </w:r>
      <w:proofErr w:type="spellStart"/>
      <w:r>
        <w:rPr>
          <w:rFonts w:ascii="Tahoma" w:eastAsia="Tahoma" w:hAnsi="Tahoma" w:cs="Tahoma"/>
          <w:color w:val="444444"/>
        </w:rPr>
        <w:t>Macrozona</w:t>
      </w:r>
      <w:proofErr w:type="spellEnd"/>
      <w:r>
        <w:rPr>
          <w:rFonts w:ascii="Tahoma" w:eastAsia="Tahoma" w:hAnsi="Tahoma" w:cs="Tahoma"/>
          <w:color w:val="444444"/>
        </w:rPr>
        <w:t>, segundo as condições estabelecidas no Plano Diretor, e demais legislações espec</w:t>
      </w:r>
      <w:r w:rsidR="00F13F51">
        <w:rPr>
          <w:rFonts w:ascii="Tahoma" w:eastAsia="Tahoma" w:hAnsi="Tahoma" w:cs="Tahoma"/>
          <w:color w:val="444444"/>
        </w:rPr>
        <w:t>í</w:t>
      </w:r>
      <w:r>
        <w:rPr>
          <w:rFonts w:ascii="Tahoma" w:eastAsia="Tahoma" w:hAnsi="Tahoma" w:cs="Tahoma"/>
          <w:color w:val="444444"/>
        </w:rPr>
        <w:t>ficas, podendo ter a figura do</w:t>
      </w:r>
      <w:r>
        <w:rPr>
          <w:rFonts w:ascii="Tahoma" w:eastAsia="Tahoma" w:hAnsi="Tahoma" w:cs="Tahoma"/>
          <w:color w:val="444444"/>
          <w:highlight w:val="white"/>
        </w:rPr>
        <w:t xml:space="preserve"> usuário-pagador e do provedor-recebedor, </w:t>
      </w:r>
      <w:r>
        <w:rPr>
          <w:rFonts w:ascii="Tahoma" w:eastAsia="Tahoma" w:hAnsi="Tahoma" w:cs="Tahoma"/>
          <w:color w:val="444444"/>
        </w:rPr>
        <w:t xml:space="preserve">e deverá ser regulamentado por ato do Executivo. </w:t>
      </w:r>
    </w:p>
    <w:p w:rsidR="00F342B5" w:rsidRDefault="00F342B5">
      <w:pPr>
        <w:ind w:left="567"/>
        <w:jc w:val="right"/>
        <w:rPr>
          <w:rFonts w:ascii="Tahoma" w:eastAsia="Tahoma" w:hAnsi="Tahoma" w:cs="Tahoma"/>
        </w:rPr>
      </w:pPr>
    </w:p>
    <w:p w:rsidR="00F342B5" w:rsidRDefault="00DF51F5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5918D5">
        <w:rPr>
          <w:rFonts w:ascii="Tahoma" w:eastAsia="Tahoma" w:hAnsi="Tahoma" w:cs="Tahoma"/>
        </w:rPr>
        <w:t>26</w:t>
      </w:r>
      <w:r>
        <w:rPr>
          <w:rFonts w:ascii="Tahoma" w:eastAsia="Tahoma" w:hAnsi="Tahoma" w:cs="Tahoma"/>
        </w:rPr>
        <w:t xml:space="preserve"> de </w:t>
      </w:r>
      <w:r w:rsidR="00EB13C8">
        <w:rPr>
          <w:rFonts w:ascii="Tahoma" w:eastAsia="Tahoma" w:hAnsi="Tahoma" w:cs="Tahoma"/>
        </w:rPr>
        <w:t>outubro</w:t>
      </w:r>
      <w:r>
        <w:rPr>
          <w:rFonts w:ascii="Tahoma" w:eastAsia="Tahoma" w:hAnsi="Tahoma" w:cs="Tahoma"/>
        </w:rPr>
        <w:t xml:space="preserve"> de 202</w:t>
      </w:r>
      <w:r w:rsidR="005918D5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.</w:t>
      </w:r>
    </w:p>
    <w:p w:rsidR="00F342B5" w:rsidRDefault="00F342B5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342B5" w:rsidRDefault="00F342B5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342B5" w:rsidRDefault="00F342B5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342B5" w:rsidRDefault="00F342B5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342B5" w:rsidRDefault="00DF51F5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Daniel Marques</w:t>
      </w:r>
    </w:p>
    <w:p w:rsidR="00F342B5" w:rsidRDefault="00F342B5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342B5" w:rsidRDefault="00DF51F5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Vereador </w:t>
      </w: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DF51F5">
      <w:pPr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F342B5" w:rsidRDefault="00DF51F5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O mundo vive hoje uma crise ambiental sem precedentes. O aquecimento global, a supressão dos remanescentes vegetais nativos, a perda da biodiversidade, a escassez e a contaminação crescentes dos recursos hídricos são apenas alguns exemplos dos problemas que a atual geração enfrenta, e que tendem a se agravar nos anos que virão. É necessário, portanto, abandonar o tradicional e impactante modelo de crescimento econômico a qualquer custo e buscar dar cunho prático ao tão propalado – e ainda tão pouco </w:t>
      </w:r>
      <w:proofErr w:type="gramStart"/>
      <w:r>
        <w:rPr>
          <w:rFonts w:ascii="Tahoma" w:eastAsia="Tahoma" w:hAnsi="Tahoma" w:cs="Tahoma"/>
        </w:rPr>
        <w:t>implementado</w:t>
      </w:r>
      <w:proofErr w:type="gramEnd"/>
      <w:r>
        <w:rPr>
          <w:rFonts w:ascii="Tahoma" w:eastAsia="Tahoma" w:hAnsi="Tahoma" w:cs="Tahoma"/>
        </w:rPr>
        <w:t xml:space="preserve"> – paradigma do desenvolvimento sustentável. </w:t>
      </w:r>
    </w:p>
    <w:p w:rsidR="00F342B5" w:rsidRDefault="00DF51F5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Um dos meios de alcançá-lo, fugindo um pouco das ações de comando e controle, de caráter </w:t>
      </w:r>
      <w:proofErr w:type="spellStart"/>
      <w:r>
        <w:rPr>
          <w:rFonts w:ascii="Tahoma" w:eastAsia="Tahoma" w:hAnsi="Tahoma" w:cs="Tahoma"/>
        </w:rPr>
        <w:t>sancionatório</w:t>
      </w:r>
      <w:proofErr w:type="spellEnd"/>
      <w:r>
        <w:rPr>
          <w:rFonts w:ascii="Tahoma" w:eastAsia="Tahoma" w:hAnsi="Tahoma" w:cs="Tahoma"/>
        </w:rPr>
        <w:t xml:space="preserve">, pode ser mediante instrumentos econômicos, na forma de incentivos, de modo a obter resultados mais palpáveis. Basta, por exemplo, reconhecer aquelas funções imprescindíveis, muitas vezes imensuráveis, oferecidas pelos ecossistemas naturais para a manutenção, recuperação e melhoria das condições ambientais adequadas à vida, às quais denominamos serviços ambientais, e dar valor a elas, mediante o Pagamento por Serviços Ambientais (PSA). </w:t>
      </w:r>
    </w:p>
    <w:p w:rsidR="00F342B5" w:rsidRDefault="00DF51F5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O PSA objetiva transferir recursos, financeiros ou não, àqueles que voluntariamente ajudam a conservar os ecossistemas, para que estes continuem produzindo tais serviços, que incluem a produção de oxigênio e a purificação do ar, a estabilidade das condições climáticas e do ciclo hidrológico, a decomposição e a ciclagem dos dejetos, a produção, manutenção e renovação da fertilidade do solo, o controle de erosão e de deslizamentos, a polinização da vegetação, a dispersão de sementes, a manutenção do patrimônio genético, a proteção contra </w:t>
      </w:r>
      <w:proofErr w:type="gramStart"/>
      <w:r>
        <w:rPr>
          <w:rFonts w:ascii="Tahoma" w:eastAsia="Tahoma" w:hAnsi="Tahoma" w:cs="Tahoma"/>
        </w:rPr>
        <w:t>os raios ultravioleta</w:t>
      </w:r>
      <w:proofErr w:type="gramEnd"/>
      <w:r>
        <w:rPr>
          <w:rFonts w:ascii="Tahoma" w:eastAsia="Tahoma" w:hAnsi="Tahoma" w:cs="Tahoma"/>
        </w:rPr>
        <w:t>, o controle de pestes e de enfermidades humanas, entre vários outros, que são usufruídos pela coletividade.</w:t>
      </w:r>
    </w:p>
    <w:p w:rsidR="00F60DDB" w:rsidRDefault="00F60DDB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</w:p>
    <w:p w:rsidR="00F342B5" w:rsidRDefault="00DF51F5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Assim, não basta apenas cobrar uma taxa de quem polui ou faz uso do recurso natural, de acordo com os princípios do poluidor-pagador e do usuário-pagador. É preciso também destinar recursos a quem voluntariamente garante a oferta dos serviços ambientais, com base </w:t>
      </w:r>
      <w:r>
        <w:rPr>
          <w:rFonts w:ascii="Tahoma" w:eastAsia="Tahoma" w:hAnsi="Tahoma" w:cs="Tahoma"/>
        </w:rPr>
        <w:lastRenderedPageBreak/>
        <w:t>no princípio do protetor-recebedor.</w:t>
      </w:r>
    </w:p>
    <w:p w:rsidR="00F342B5" w:rsidRDefault="00DF51F5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 preocupação com a proteção das áreas verdes que ainda restam, são pontos que precisam ser enfrentados, pois a ocupação urbana vem diminuindo expressivamente às áreas verdes naturais da cidade, caso nada seja feito para reverter essa situação, em poucos anos</w:t>
      </w:r>
      <w:proofErr w:type="gramStart"/>
      <w:r>
        <w:rPr>
          <w:rFonts w:ascii="Tahoma" w:eastAsia="Tahoma" w:hAnsi="Tahoma" w:cs="Tahoma"/>
        </w:rPr>
        <w:t xml:space="preserve">  </w:t>
      </w:r>
      <w:proofErr w:type="gramEnd"/>
      <w:r>
        <w:rPr>
          <w:rFonts w:ascii="Tahoma" w:eastAsia="Tahoma" w:hAnsi="Tahoma" w:cs="Tahoma"/>
        </w:rPr>
        <w:t>elas não se farão mais presentes.</w:t>
      </w:r>
    </w:p>
    <w:p w:rsidR="00F342B5" w:rsidRDefault="00DF51F5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Para o PSA funcionar, deve haver provedores, pessoas engajadas capazes de preservar e manter o serviço ambiental. E também os compradores, pessoas interessadas que irão se beneficiar da proteção de tal serviço, como ONGs, empresas privadas, poder público, pessoas físicas, entre outros. Vale ressaltar que essa é uma prática voluntária e não obrigatória. Ela também pode ser adotada por empresas que visem melhorar sua imagem ou mesmo por pessoas que queiram mitigar os impactos de suas ações cotidianas.</w:t>
      </w:r>
    </w:p>
    <w:p w:rsidR="00F342B5" w:rsidRDefault="00DF51F5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O foco do PSA hoje é bastante direcionado para proteção e recuperação dos recursos hídricos e biodiversidade e também para mitigação das mudanças climáticas pelo </w:t>
      </w:r>
      <w:proofErr w:type="spellStart"/>
      <w:r>
        <w:rPr>
          <w:rFonts w:ascii="Tahoma" w:eastAsia="Tahoma" w:hAnsi="Tahoma" w:cs="Tahoma"/>
        </w:rPr>
        <w:t>sequestro</w:t>
      </w:r>
      <w:proofErr w:type="spellEnd"/>
      <w:r>
        <w:rPr>
          <w:rFonts w:ascii="Tahoma" w:eastAsia="Tahoma" w:hAnsi="Tahoma" w:cs="Tahoma"/>
        </w:rPr>
        <w:t xml:space="preserve"> de carbono através de diversas técnicas. </w:t>
      </w:r>
    </w:p>
    <w:p w:rsidR="00F342B5" w:rsidRDefault="00DF51F5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 primeira aplicação nacional do PSA ocorreu com a Lei 12.512/11, que instituiu </w:t>
      </w:r>
      <w:proofErr w:type="gramStart"/>
      <w:r>
        <w:rPr>
          <w:rFonts w:ascii="Tahoma" w:eastAsia="Tahoma" w:hAnsi="Tahoma" w:cs="Tahoma"/>
        </w:rPr>
        <w:t>o Bolsa</w:t>
      </w:r>
      <w:proofErr w:type="gramEnd"/>
      <w:r>
        <w:rPr>
          <w:rFonts w:ascii="Tahoma" w:eastAsia="Tahoma" w:hAnsi="Tahoma" w:cs="Tahoma"/>
        </w:rPr>
        <w:t xml:space="preserve"> Verde, um programa que beneficia famílias de baixa renda com R$ 300 a cada três meses para que haja manutenção da vegetação da propriedade, entre outros fatores relacionados. O reflorestamento também é uma prática bastante difundida na sociedade, há o pagamento para o plantio de árvores que prestarão serviços como neutralização de emissões.</w:t>
      </w:r>
    </w:p>
    <w:p w:rsidR="00F342B5" w:rsidRDefault="00DF51F5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Outro exemplo envolve atividades que consomem ou podem poluir recursos hídricos em altas quantidades. Esse tipo de atividade deve possuir uma outorga para o uso da água e o pagamento também deve ocorrer; portanto, os responsáveis pelo empreendimento são considerados usuários do serviço e participam de um programa de PSA (devido à cobrança pelo uso da água). Esse projeto de PSA não é considerado um imposto e sim uma remuneração pelo uso de um bem público – o dinheiro arrecadado é investido para manter e recuperar bacias hidrográficas que fornecem esse serviço.</w:t>
      </w:r>
    </w:p>
    <w:p w:rsidR="00F342B5" w:rsidRDefault="00DF51F5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Nós, como consumidores, também podemos escolher pagar por serviços ambientais em </w:t>
      </w:r>
      <w:r>
        <w:rPr>
          <w:rFonts w:ascii="Tahoma" w:eastAsia="Tahoma" w:hAnsi="Tahoma" w:cs="Tahoma"/>
        </w:rPr>
        <w:lastRenderedPageBreak/>
        <w:t>produtos sustentáveis, por meio de certificações, como selos ecológicos. Eles estão presentes em certos produtos orgânicos e em madeiras reflorestadas, por exemplo. Quando escolhemos pagar esse valor adicional, estamos também pagando pela proteção dos serviços ecossistêmicos.</w:t>
      </w:r>
    </w:p>
    <w:p w:rsidR="00F342B5" w:rsidRDefault="00DF51F5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A Lei Urbanística de Niterói tem por finalidade promover a estruturação urbana do território municipal objetivando equilibrar os processos de produção e transformação do espaço urbano com o meio ambiente e a mobilidade urbana sustentável. O crescimento urbano em baixa densidade ou irregular pressiona o meio ambiente e acabam atuando na segregação </w:t>
      </w:r>
      <w:proofErr w:type="spellStart"/>
      <w:r>
        <w:rPr>
          <w:rFonts w:ascii="Tahoma" w:eastAsia="Tahoma" w:hAnsi="Tahoma" w:cs="Tahoma"/>
          <w:sz w:val="22"/>
          <w:szCs w:val="22"/>
        </w:rPr>
        <w:t>socioespacial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da cidade como um todo.</w:t>
      </w:r>
    </w:p>
    <w:p w:rsidR="00F342B5" w:rsidRDefault="00DF51F5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Assim, a presente emenda visa auxiliar na regulamentação das diretrizes estabelecidas no Plano Diretor (PD) de Niterói, no ordenamento e direcionamento da expansão urbana no Município, com a proteção da ambiência urbana e das áreas verdes, apontando pontos que precisam ser assegurados, buscando o melhor</w:t>
      </w:r>
      <w:proofErr w:type="gramStart"/>
      <w:r>
        <w:rPr>
          <w:rFonts w:ascii="Tahoma" w:eastAsia="Tahoma" w:hAnsi="Tahoma" w:cs="Tahoma"/>
          <w:sz w:val="22"/>
          <w:szCs w:val="22"/>
        </w:rPr>
        <w:t xml:space="preserve">  </w:t>
      </w:r>
      <w:proofErr w:type="gramEnd"/>
      <w:r>
        <w:rPr>
          <w:rFonts w:ascii="Tahoma" w:eastAsia="Tahoma" w:hAnsi="Tahoma" w:cs="Tahoma"/>
          <w:sz w:val="22"/>
          <w:szCs w:val="22"/>
        </w:rPr>
        <w:t>ordenamento e direcionamento da expansão urbana na cidade.</w:t>
      </w:r>
    </w:p>
    <w:p w:rsidR="00F342B5" w:rsidRDefault="00DF51F5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O Município de Niterói deve ter um compromisso com as próximas gerações, entregando uma cidade economicamente mais desenvolvida, socialmente justa e ambientalmente preservada. </w:t>
      </w:r>
    </w:p>
    <w:p w:rsidR="00F342B5" w:rsidRDefault="00DF51F5">
      <w:pPr>
        <w:spacing w:line="360" w:lineRule="auto"/>
        <w:ind w:firstLine="709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Desta maneira, conto com o apoio dos Nobres Pares para aprovação da presente emenda.</w:t>
      </w:r>
    </w:p>
    <w:p w:rsidR="00F342B5" w:rsidRDefault="00F342B5">
      <w:pPr>
        <w:jc w:val="both"/>
        <w:rPr>
          <w:rFonts w:ascii="Tahoma" w:eastAsia="Tahoma" w:hAnsi="Tahoma" w:cs="Tahoma"/>
          <w:sz w:val="22"/>
          <w:szCs w:val="22"/>
        </w:rPr>
      </w:pPr>
    </w:p>
    <w:p w:rsidR="00F342B5" w:rsidRDefault="00F342B5">
      <w:pPr>
        <w:spacing w:line="276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</w:p>
    <w:p w:rsidR="00F342B5" w:rsidRDefault="00F342B5">
      <w:pPr>
        <w:jc w:val="both"/>
        <w:rPr>
          <w:rFonts w:ascii="Tahoma" w:eastAsia="Tahoma" w:hAnsi="Tahoma" w:cs="Tahoma"/>
          <w:sz w:val="22"/>
          <w:szCs w:val="22"/>
        </w:rPr>
      </w:pPr>
    </w:p>
    <w:sectPr w:rsidR="00F342B5" w:rsidSect="00F342B5">
      <w:headerReference w:type="default" r:id="rId7"/>
      <w:footerReference w:type="default" r:id="rId8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51F5" w:rsidRDefault="00DF51F5" w:rsidP="00F342B5">
      <w:r>
        <w:separator/>
      </w:r>
    </w:p>
  </w:endnote>
  <w:endnote w:type="continuationSeparator" w:id="1">
    <w:p w:rsidR="00DF51F5" w:rsidRDefault="00DF51F5" w:rsidP="00F342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9C8" w:rsidRPr="001D7195" w:rsidRDefault="00C809C8" w:rsidP="00C809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 w:rsidRPr="001D7195"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 w:rsidRPr="001D7195">
      <w:rPr>
        <w:rFonts w:ascii="Tahoma" w:eastAsia="Tahoma" w:hAnsi="Tahoma" w:cs="Tahoma"/>
        <w:b/>
        <w:i/>
        <w:sz w:val="16"/>
        <w:szCs w:val="16"/>
      </w:rPr>
      <w:t>.:</w:t>
    </w:r>
    <w:proofErr w:type="gramEnd"/>
    <w:r w:rsidRPr="001D7195">
      <w:rPr>
        <w:rFonts w:ascii="Tahoma" w:eastAsia="Tahoma" w:hAnsi="Tahoma" w:cs="Tahoma"/>
        <w:b/>
        <w:i/>
        <w:sz w:val="16"/>
        <w:szCs w:val="16"/>
      </w:rPr>
      <w:t xml:space="preserve"> 24.023-900   </w:t>
    </w:r>
    <w:r>
      <w:rPr>
        <w:rFonts w:ascii="Tahoma" w:eastAsia="Tahoma" w:hAnsi="Tahoma" w:cs="Tahoma"/>
        <w:b/>
        <w:i/>
        <w:sz w:val="16"/>
        <w:szCs w:val="16"/>
      </w:rPr>
      <w:t xml:space="preserve">-    </w:t>
    </w:r>
    <w:r w:rsidRPr="001D7195">
      <w:rPr>
        <w:rFonts w:ascii="Tahoma" w:eastAsia="Tahoma" w:hAnsi="Tahoma" w:cs="Tahoma"/>
        <w:b/>
        <w:i/>
        <w:sz w:val="16"/>
        <w:szCs w:val="16"/>
      </w:rPr>
      <w:t>RG</w:t>
    </w:r>
  </w:p>
  <w:p w:rsidR="00C809C8" w:rsidRPr="001D7195" w:rsidRDefault="00C809C8" w:rsidP="00C809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sz w:val="16"/>
        <w:szCs w:val="16"/>
      </w:rPr>
    </w:pPr>
    <w:r w:rsidRPr="001D7195">
      <w:rPr>
        <w:rFonts w:ascii="Tahoma" w:eastAsia="Tahoma" w:hAnsi="Tahoma" w:cs="Tahoma"/>
        <w:b/>
        <w:i/>
        <w:sz w:val="16"/>
        <w:szCs w:val="16"/>
      </w:rPr>
      <w:t>Telefone fixo</w:t>
    </w:r>
    <w:proofErr w:type="gramStart"/>
    <w:r w:rsidRPr="001D7195">
      <w:rPr>
        <w:rFonts w:ascii="Tahoma" w:eastAsia="Tahoma" w:hAnsi="Tahoma" w:cs="Tahoma"/>
        <w:b/>
        <w:i/>
        <w:sz w:val="16"/>
        <w:szCs w:val="16"/>
      </w:rPr>
      <w:t xml:space="preserve"> </w:t>
    </w:r>
    <w:r w:rsidRPr="001D7195">
      <w:rPr>
        <w:rFonts w:ascii="Tahoma" w:hAnsi="Tahoma" w:cs="Tahoma"/>
        <w:b/>
        <w:i/>
        <w:sz w:val="16"/>
        <w:szCs w:val="16"/>
      </w:rPr>
      <w:t xml:space="preserve"> </w:t>
    </w:r>
    <w:proofErr w:type="gramEnd"/>
    <w:r w:rsidRPr="001D7195">
      <w:rPr>
        <w:rFonts w:ascii="Tahoma" w:hAnsi="Tahoma" w:cs="Tahoma"/>
        <w:b/>
        <w:i/>
        <w:sz w:val="16"/>
        <w:szCs w:val="16"/>
      </w:rPr>
      <w:t xml:space="preserve">– 2620.1321 – Telefone móvel </w:t>
    </w:r>
    <w:proofErr w:type="spellStart"/>
    <w:r w:rsidRPr="001D7195">
      <w:rPr>
        <w:rFonts w:ascii="Tahoma" w:hAnsi="Tahoma" w:cs="Tahoma"/>
        <w:b/>
        <w:i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sz w:val="16"/>
        <w:szCs w:val="16"/>
      </w:rPr>
      <w:t xml:space="preserve"> – 99315 - 2332</w:t>
    </w:r>
    <w:r w:rsidRPr="001D7195">
      <w:rPr>
        <w:rFonts w:ascii="Tahoma" w:hAnsi="Tahoma" w:cs="Tahoma"/>
        <w:b/>
        <w:i/>
        <w:sz w:val="16"/>
        <w:szCs w:val="16"/>
      </w:rPr>
      <w:t xml:space="preserve">  </w:t>
    </w:r>
  </w:p>
  <w:p w:rsidR="00C809C8" w:rsidRPr="001D7195" w:rsidRDefault="00C809C8" w:rsidP="00C809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 w:rsidRPr="001D7195"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 w:rsidRPr="001D7195"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C809C8" w:rsidRDefault="00C809C8" w:rsidP="00C809C8">
    <w:pPr>
      <w:pStyle w:val="Rodap"/>
    </w:pPr>
  </w:p>
  <w:p w:rsidR="00C809C8" w:rsidRDefault="00C809C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51F5" w:rsidRDefault="00DF51F5" w:rsidP="00F342B5">
      <w:r>
        <w:separator/>
      </w:r>
    </w:p>
  </w:footnote>
  <w:footnote w:type="continuationSeparator" w:id="1">
    <w:p w:rsidR="00DF51F5" w:rsidRDefault="00DF51F5" w:rsidP="00F342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2B5" w:rsidRDefault="00F342B5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2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F342B5">
      <w:trPr>
        <w:cantSplit/>
        <w:trHeight w:val="1971"/>
        <w:tblHeader/>
      </w:trPr>
      <w:tc>
        <w:tcPr>
          <w:tcW w:w="1728" w:type="dxa"/>
        </w:tcPr>
        <w:p w:rsidR="00F342B5" w:rsidRDefault="00DF51F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7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F342B5" w:rsidRDefault="00F342B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342B5" w:rsidRDefault="00F342B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342B5" w:rsidRDefault="00DF51F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F342B5" w:rsidRDefault="00F342B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F342B5" w:rsidRDefault="00DF51F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F342B5" w:rsidRDefault="00F342B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F342B5" w:rsidRDefault="00F342B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42B5"/>
    <w:rsid w:val="0047736A"/>
    <w:rsid w:val="005918D5"/>
    <w:rsid w:val="008C5278"/>
    <w:rsid w:val="00953A53"/>
    <w:rsid w:val="00990481"/>
    <w:rsid w:val="00C809C8"/>
    <w:rsid w:val="00DF51F5"/>
    <w:rsid w:val="00EA757F"/>
    <w:rsid w:val="00EB13C8"/>
    <w:rsid w:val="00F13F51"/>
    <w:rsid w:val="00F342B5"/>
    <w:rsid w:val="00F60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F342B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F342B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F342B5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F342B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F342B5"/>
  </w:style>
  <w:style w:type="table" w:customStyle="1" w:styleId="TableNormal">
    <w:name w:val="Table Normal"/>
    <w:rsid w:val="00F342B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F342B5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F342B5"/>
  </w:style>
  <w:style w:type="table" w:customStyle="1" w:styleId="TableNormal0">
    <w:name w:val="Table Normal"/>
    <w:rsid w:val="00F342B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F342B5"/>
  </w:style>
  <w:style w:type="table" w:customStyle="1" w:styleId="TableNormal1">
    <w:name w:val="Table Normal"/>
    <w:rsid w:val="00F342B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F342B5"/>
  </w:style>
  <w:style w:type="table" w:customStyle="1" w:styleId="TableNormal2">
    <w:name w:val="Table Normal"/>
    <w:rsid w:val="00F342B5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342B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F342B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2"/>
    <w:rsid w:val="00F342B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2"/>
    <w:rsid w:val="00F342B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2"/>
    <w:rsid w:val="00F342B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61RjAHmlmV5DTaR4tTkwHU66vAQ==">AMUW2mWSc7lZ+dXu0XRm7GSsGwysNiduYPFGQYr0bfw8IM2hAINXB+54SIPSYCzGxdYBXrkMQwg62u9hJCGUmId+uHqodK+lITRkciode+9R5oCekfweTFE=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1101</Words>
  <Characters>5951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dcterms:created xsi:type="dcterms:W3CDTF">2024-01-10T17:27:00Z</dcterms:created>
  <dcterms:modified xsi:type="dcterms:W3CDTF">2024-01-10T17:27:00Z</dcterms:modified>
</cp:coreProperties>
</file>