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76D67" w:rsidRDefault="005C6E7C">
      <w:pPr>
        <w:keepNext/>
        <w:pBdr>
          <w:top w:val="nil"/>
          <w:left w:val="nil"/>
          <w:bottom w:val="nil"/>
          <w:right w:val="nil"/>
          <w:between w:val="nil"/>
        </w:pBdr>
        <w:tabs>
          <w:tab w:val="left" w:pos="3397"/>
          <w:tab w:val="left" w:pos="13460"/>
          <w:tab w:val="left" w:pos="3397"/>
          <w:tab w:val="left" w:pos="13460"/>
          <w:tab w:val="left" w:pos="1133"/>
          <w:tab w:val="center" w:pos="4818"/>
          <w:tab w:val="left" w:pos="11196"/>
        </w:tabs>
        <w:jc w:val="center"/>
        <w:rPr>
          <w:rFonts w:ascii="Tahoma" w:eastAsia="Tahoma" w:hAnsi="Tahoma" w:cs="Tahoma"/>
          <w:b/>
          <w:color w:val="000000"/>
        </w:rPr>
      </w:pPr>
      <w:r>
        <w:rPr>
          <w:rFonts w:ascii="Tahoma" w:eastAsia="Tahoma" w:hAnsi="Tahoma" w:cs="Tahoma"/>
          <w:b/>
          <w:color w:val="000000"/>
        </w:rPr>
        <w:t xml:space="preserve"> </w:t>
      </w:r>
      <w:r w:rsidR="001F1752">
        <w:rPr>
          <w:rFonts w:ascii="Tahoma" w:eastAsia="Tahoma" w:hAnsi="Tahoma" w:cs="Tahoma"/>
          <w:b/>
          <w:color w:val="000000"/>
        </w:rPr>
        <w:t>Emenda Nº      /202</w:t>
      </w:r>
      <w:r w:rsidR="00C94948">
        <w:rPr>
          <w:rFonts w:ascii="Tahoma" w:eastAsia="Tahoma" w:hAnsi="Tahoma" w:cs="Tahoma"/>
          <w:b/>
          <w:color w:val="000000"/>
        </w:rPr>
        <w:t>3</w:t>
      </w:r>
    </w:p>
    <w:p w:rsidR="00E76D67" w:rsidRDefault="00E76D67">
      <w:pPr>
        <w:rPr>
          <w:rFonts w:ascii="Tahoma" w:eastAsia="Tahoma" w:hAnsi="Tahoma" w:cs="Tahoma"/>
          <w:b/>
        </w:rPr>
      </w:pPr>
    </w:p>
    <w:p w:rsidR="00E76D67" w:rsidRDefault="001F1752">
      <w:pPr>
        <w:keepNext/>
        <w:pBdr>
          <w:top w:val="nil"/>
          <w:left w:val="nil"/>
          <w:bottom w:val="nil"/>
          <w:right w:val="nil"/>
          <w:between w:val="nil"/>
        </w:pBdr>
        <w:tabs>
          <w:tab w:val="left" w:pos="3397"/>
          <w:tab w:val="left" w:pos="13460"/>
          <w:tab w:val="left" w:pos="3397"/>
          <w:tab w:val="left" w:pos="13460"/>
        </w:tabs>
        <w:jc w:val="center"/>
        <w:rPr>
          <w:rFonts w:ascii="Tahoma" w:eastAsia="Tahoma" w:hAnsi="Tahoma" w:cs="Tahoma"/>
          <w:b/>
          <w:color w:val="000000"/>
        </w:rPr>
      </w:pPr>
      <w:r>
        <w:rPr>
          <w:rFonts w:ascii="Tahoma" w:eastAsia="Tahoma" w:hAnsi="Tahoma" w:cs="Tahoma"/>
          <w:b/>
          <w:color w:val="000000"/>
        </w:rPr>
        <w:t xml:space="preserve">Aditiva ao Projeto de Lei Nº. </w:t>
      </w:r>
      <w:r w:rsidR="005C6E7C">
        <w:rPr>
          <w:rFonts w:ascii="Tahoma" w:eastAsia="Tahoma" w:hAnsi="Tahoma" w:cs="Tahoma"/>
          <w:b/>
          <w:color w:val="000000"/>
        </w:rPr>
        <w:t>22</w:t>
      </w:r>
      <w:r w:rsidR="00C94948">
        <w:rPr>
          <w:rFonts w:ascii="Tahoma" w:eastAsia="Tahoma" w:hAnsi="Tahoma" w:cs="Tahoma"/>
          <w:b/>
          <w:color w:val="000000"/>
        </w:rPr>
        <w:t>1</w:t>
      </w:r>
      <w:r>
        <w:rPr>
          <w:rFonts w:ascii="Tahoma" w:eastAsia="Tahoma" w:hAnsi="Tahoma" w:cs="Tahoma"/>
          <w:b/>
          <w:color w:val="000000"/>
        </w:rPr>
        <w:t>/202</w:t>
      </w:r>
      <w:r w:rsidR="005C6E7C">
        <w:rPr>
          <w:rFonts w:ascii="Tahoma" w:eastAsia="Tahoma" w:hAnsi="Tahoma" w:cs="Tahoma"/>
          <w:b/>
          <w:color w:val="000000"/>
        </w:rPr>
        <w:t>3</w:t>
      </w:r>
    </w:p>
    <w:p w:rsidR="00E76D67" w:rsidRDefault="00E76D67">
      <w:pPr>
        <w:ind w:left="6315"/>
        <w:jc w:val="both"/>
        <w:rPr>
          <w:rFonts w:ascii="Tahoma" w:eastAsia="Tahoma" w:hAnsi="Tahoma" w:cs="Tahoma"/>
        </w:rPr>
      </w:pPr>
    </w:p>
    <w:p w:rsidR="00E76D67" w:rsidRDefault="00E76D67">
      <w:pPr>
        <w:ind w:left="6315"/>
        <w:jc w:val="both"/>
        <w:rPr>
          <w:rFonts w:ascii="Tahoma" w:eastAsia="Tahoma" w:hAnsi="Tahoma" w:cs="Tahoma"/>
          <w:color w:val="000000"/>
        </w:rPr>
      </w:pPr>
    </w:p>
    <w:p w:rsidR="00E76D67" w:rsidRDefault="00391487">
      <w:pPr>
        <w:spacing w:line="360" w:lineRule="auto"/>
        <w:ind w:left="5103"/>
        <w:jc w:val="both"/>
        <w:rPr>
          <w:rFonts w:ascii="Tahoma" w:eastAsia="Tahoma" w:hAnsi="Tahoma" w:cs="Tahoma"/>
          <w:b/>
          <w:color w:val="000000"/>
          <w:sz w:val="22"/>
          <w:szCs w:val="22"/>
          <w:highlight w:val="white"/>
        </w:rPr>
      </w:pPr>
      <w:r>
        <w:rPr>
          <w:rFonts w:ascii="Tahoma" w:eastAsia="Tahoma" w:hAnsi="Tahoma" w:cs="Tahoma"/>
          <w:b/>
          <w:sz w:val="22"/>
          <w:szCs w:val="22"/>
        </w:rPr>
        <w:t>Acrescenta-se o § 6º, ao Art. 14</w:t>
      </w:r>
      <w:r>
        <w:rPr>
          <w:rFonts w:ascii="Tahoma" w:eastAsia="Tahoma" w:hAnsi="Tahoma" w:cs="Tahoma"/>
          <w:sz w:val="22"/>
          <w:szCs w:val="22"/>
        </w:rPr>
        <w:t>,</w:t>
      </w:r>
      <w:r>
        <w:rPr>
          <w:rFonts w:ascii="Tahoma" w:eastAsia="Tahoma" w:hAnsi="Tahoma" w:cs="Tahoma"/>
          <w:b/>
          <w:sz w:val="22"/>
          <w:szCs w:val="22"/>
        </w:rPr>
        <w:t xml:space="preserve"> as Zonas de Amortecimentos das unidades de conservação já existentes ou que vierem a ser instituídas, deverão ter seu zoneamento demarcado como Zona de Conservação Ambiental (ZCA), e estabelecidos os parâmetros de ZCA+2</w:t>
      </w:r>
      <w:r w:rsidR="001F1752">
        <w:rPr>
          <w:rFonts w:ascii="Tahoma" w:eastAsia="Tahoma" w:hAnsi="Tahoma" w:cs="Tahoma"/>
          <w:b/>
          <w:sz w:val="22"/>
          <w:szCs w:val="22"/>
        </w:rPr>
        <w:t xml:space="preserve">, </w:t>
      </w:r>
      <w:r w:rsidR="001F1752">
        <w:rPr>
          <w:rFonts w:ascii="Tahoma" w:eastAsia="Tahoma" w:hAnsi="Tahoma" w:cs="Tahoma"/>
          <w:sz w:val="22"/>
          <w:szCs w:val="22"/>
        </w:rPr>
        <w:t xml:space="preserve">ao Projeto de Lei Nº </w:t>
      </w:r>
      <w:r w:rsidR="005C6E7C">
        <w:rPr>
          <w:rFonts w:ascii="Tahoma" w:eastAsia="Tahoma" w:hAnsi="Tahoma" w:cs="Tahoma"/>
          <w:sz w:val="22"/>
          <w:szCs w:val="22"/>
        </w:rPr>
        <w:t>22</w:t>
      </w:r>
      <w:r w:rsidR="00C94948">
        <w:rPr>
          <w:rFonts w:ascii="Tahoma" w:eastAsia="Tahoma" w:hAnsi="Tahoma" w:cs="Tahoma"/>
          <w:sz w:val="22"/>
          <w:szCs w:val="22"/>
        </w:rPr>
        <w:t>1</w:t>
      </w:r>
      <w:r w:rsidR="001F1752">
        <w:rPr>
          <w:rFonts w:ascii="Tahoma" w:eastAsia="Tahoma" w:hAnsi="Tahoma" w:cs="Tahoma"/>
          <w:sz w:val="22"/>
          <w:szCs w:val="22"/>
        </w:rPr>
        <w:t>/202</w:t>
      </w:r>
      <w:r w:rsidR="005C6E7C">
        <w:rPr>
          <w:rFonts w:ascii="Tahoma" w:eastAsia="Tahoma" w:hAnsi="Tahoma" w:cs="Tahoma"/>
          <w:sz w:val="22"/>
          <w:szCs w:val="22"/>
        </w:rPr>
        <w:t>3</w:t>
      </w:r>
      <w:r w:rsidR="001F1752">
        <w:rPr>
          <w:rFonts w:ascii="Tahoma" w:eastAsia="Tahoma" w:hAnsi="Tahoma" w:cs="Tahoma"/>
          <w:sz w:val="22"/>
          <w:szCs w:val="22"/>
        </w:rPr>
        <w:t>, lei urbanística de Niterói, seu zoneamento, a aplicação de instrumentos de política urbana e as regras gerais de licenciamento da atividade edilícia e de fiscalização da execução de obras</w:t>
      </w:r>
      <w:r w:rsidR="001F1752">
        <w:rPr>
          <w:rFonts w:ascii="Tahoma" w:eastAsia="Tahoma" w:hAnsi="Tahoma" w:cs="Tahoma"/>
          <w:color w:val="000000"/>
          <w:sz w:val="22"/>
          <w:szCs w:val="22"/>
          <w:highlight w:val="white"/>
        </w:rPr>
        <w:t>.</w:t>
      </w:r>
    </w:p>
    <w:p w:rsidR="00E76D67" w:rsidRDefault="00E76D67">
      <w:pPr>
        <w:ind w:left="567"/>
        <w:jc w:val="both"/>
        <w:rPr>
          <w:rFonts w:ascii="Tahoma" w:eastAsia="Tahoma" w:hAnsi="Tahoma" w:cs="Tahoma"/>
          <w:sz w:val="22"/>
          <w:szCs w:val="22"/>
        </w:rPr>
      </w:pPr>
    </w:p>
    <w:p w:rsidR="00E76D67" w:rsidRDefault="00C94948" w:rsidP="00D51E29">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jc w:val="both"/>
        <w:rPr>
          <w:rFonts w:ascii="Tahoma" w:eastAsia="Tahoma" w:hAnsi="Tahoma" w:cs="Tahoma"/>
        </w:rPr>
      </w:pPr>
      <w:r>
        <w:rPr>
          <w:rFonts w:ascii="Tahoma" w:eastAsia="Tahoma" w:hAnsi="Tahoma" w:cs="Tahoma"/>
          <w:b/>
          <w:sz w:val="22"/>
          <w:szCs w:val="22"/>
        </w:rPr>
        <w:t xml:space="preserve">Art.1º - Acrescenta-se o § </w:t>
      </w:r>
      <w:r w:rsidR="00673405">
        <w:rPr>
          <w:rFonts w:ascii="Tahoma" w:eastAsia="Tahoma" w:hAnsi="Tahoma" w:cs="Tahoma"/>
          <w:b/>
          <w:sz w:val="22"/>
          <w:szCs w:val="22"/>
        </w:rPr>
        <w:t>6</w:t>
      </w:r>
      <w:r>
        <w:rPr>
          <w:rFonts w:ascii="Tahoma" w:eastAsia="Tahoma" w:hAnsi="Tahoma" w:cs="Tahoma"/>
          <w:b/>
          <w:sz w:val="22"/>
          <w:szCs w:val="22"/>
        </w:rPr>
        <w:t>º</w:t>
      </w:r>
      <w:r w:rsidR="00673405">
        <w:rPr>
          <w:rFonts w:ascii="Tahoma" w:eastAsia="Tahoma" w:hAnsi="Tahoma" w:cs="Tahoma"/>
          <w:b/>
          <w:sz w:val="22"/>
          <w:szCs w:val="22"/>
        </w:rPr>
        <w:t xml:space="preserve">, ao Art. </w:t>
      </w:r>
      <w:r w:rsidR="001F1752">
        <w:rPr>
          <w:rFonts w:ascii="Tahoma" w:eastAsia="Tahoma" w:hAnsi="Tahoma" w:cs="Tahoma"/>
          <w:b/>
          <w:sz w:val="22"/>
          <w:szCs w:val="22"/>
        </w:rPr>
        <w:t>14</w:t>
      </w:r>
      <w:r>
        <w:rPr>
          <w:rFonts w:ascii="Tahoma" w:eastAsia="Tahoma" w:hAnsi="Tahoma" w:cs="Tahoma"/>
          <w:sz w:val="22"/>
          <w:szCs w:val="22"/>
        </w:rPr>
        <w:t>,</w:t>
      </w:r>
      <w:r w:rsidR="001D7195">
        <w:rPr>
          <w:rFonts w:ascii="Tahoma" w:eastAsia="Tahoma" w:hAnsi="Tahoma" w:cs="Tahoma"/>
          <w:sz w:val="22"/>
          <w:szCs w:val="22"/>
        </w:rPr>
        <w:t xml:space="preserve"> </w:t>
      </w:r>
      <w:r w:rsidR="001F1752">
        <w:rPr>
          <w:rFonts w:ascii="Tahoma" w:eastAsia="Tahoma" w:hAnsi="Tahoma" w:cs="Tahoma"/>
          <w:b/>
          <w:sz w:val="22"/>
          <w:szCs w:val="22"/>
        </w:rPr>
        <w:t>as Zonas de Amortecimentos das unidades de conservação já existentes ou que vierem a ser instituídas, dever</w:t>
      </w:r>
      <w:r w:rsidR="00391487">
        <w:rPr>
          <w:rFonts w:ascii="Tahoma" w:eastAsia="Tahoma" w:hAnsi="Tahoma" w:cs="Tahoma"/>
          <w:b/>
          <w:sz w:val="22"/>
          <w:szCs w:val="22"/>
        </w:rPr>
        <w:t>ão ter seu zoneamento demarcado</w:t>
      </w:r>
      <w:r w:rsidR="001F1752">
        <w:rPr>
          <w:rFonts w:ascii="Tahoma" w:eastAsia="Tahoma" w:hAnsi="Tahoma" w:cs="Tahoma"/>
          <w:b/>
          <w:sz w:val="22"/>
          <w:szCs w:val="22"/>
        </w:rPr>
        <w:t xml:space="preserve"> como Zona de Conservação Ambiental (ZCA), e estabelecidos os parâmetros de ZCA+2,</w:t>
      </w:r>
      <w:r w:rsidR="00D51E29">
        <w:rPr>
          <w:rFonts w:ascii="Tahoma" w:eastAsia="Tahoma" w:hAnsi="Tahoma" w:cs="Tahoma"/>
          <w:b/>
          <w:sz w:val="22"/>
          <w:szCs w:val="22"/>
        </w:rPr>
        <w:t xml:space="preserve"> </w:t>
      </w:r>
      <w:r w:rsidR="00D51E29" w:rsidRPr="00D51E29">
        <w:rPr>
          <w:rFonts w:ascii="Tahoma" w:eastAsia="Tahoma" w:hAnsi="Tahoma" w:cs="Tahoma"/>
          <w:b/>
          <w:sz w:val="22"/>
          <w:szCs w:val="22"/>
        </w:rPr>
        <w:t>o</w:t>
      </w:r>
      <w:r w:rsidR="00D51E29" w:rsidRPr="00D51E29">
        <w:rPr>
          <w:rFonts w:ascii="Tahoma" w:eastAsia="Tahoma" w:hAnsi="Tahoma" w:cs="Tahoma"/>
          <w:b/>
          <w:highlight w:val="white"/>
        </w:rPr>
        <w:t xml:space="preserve"> critério acima poderão ser alterados em consonância com o Plano Municipal da Mata Atlântica, sempre considerando a que for mais restritivo</w:t>
      </w:r>
      <w:r w:rsidR="00D51E29">
        <w:rPr>
          <w:rFonts w:ascii="Tahoma" w:eastAsia="Tahoma" w:hAnsi="Tahoma" w:cs="Tahoma"/>
        </w:rPr>
        <w:t>,</w:t>
      </w:r>
      <w:r w:rsidR="001F1752">
        <w:rPr>
          <w:rFonts w:ascii="Tahoma" w:eastAsia="Tahoma" w:hAnsi="Tahoma" w:cs="Tahoma"/>
          <w:sz w:val="22"/>
          <w:szCs w:val="22"/>
        </w:rPr>
        <w:t xml:space="preserve"> ao Projeto de Lei Nº </w:t>
      </w:r>
      <w:r w:rsidR="005C6E7C">
        <w:rPr>
          <w:rFonts w:ascii="Tahoma" w:eastAsia="Tahoma" w:hAnsi="Tahoma" w:cs="Tahoma"/>
          <w:sz w:val="22"/>
          <w:szCs w:val="22"/>
        </w:rPr>
        <w:t>22</w:t>
      </w:r>
      <w:r>
        <w:rPr>
          <w:rFonts w:ascii="Tahoma" w:eastAsia="Tahoma" w:hAnsi="Tahoma" w:cs="Tahoma"/>
          <w:sz w:val="22"/>
          <w:szCs w:val="22"/>
        </w:rPr>
        <w:t>1</w:t>
      </w:r>
      <w:r w:rsidR="001F1752">
        <w:rPr>
          <w:rFonts w:ascii="Tahoma" w:eastAsia="Tahoma" w:hAnsi="Tahoma" w:cs="Tahoma"/>
          <w:sz w:val="22"/>
          <w:szCs w:val="22"/>
        </w:rPr>
        <w:t>/202</w:t>
      </w:r>
      <w:r w:rsidR="001A171D">
        <w:rPr>
          <w:rFonts w:ascii="Tahoma" w:eastAsia="Tahoma" w:hAnsi="Tahoma" w:cs="Tahoma"/>
          <w:sz w:val="22"/>
          <w:szCs w:val="22"/>
        </w:rPr>
        <w:t>3</w:t>
      </w:r>
      <w:r w:rsidR="001F1752">
        <w:rPr>
          <w:rFonts w:ascii="Tahoma" w:eastAsia="Tahoma" w:hAnsi="Tahoma" w:cs="Tahoma"/>
          <w:sz w:val="22"/>
          <w:szCs w:val="22"/>
        </w:rPr>
        <w:t>, lei urbanística de Niterói, seu zoneamento, a aplicação de instrumentos de política urbana e as regras gerais de licenciamento da atividade edilícia e de fiscalização da execução de obras</w:t>
      </w:r>
      <w:r w:rsidR="009D2B3C">
        <w:rPr>
          <w:rFonts w:ascii="Tahoma" w:eastAsia="Tahoma" w:hAnsi="Tahoma" w:cs="Tahoma"/>
          <w:sz w:val="22"/>
          <w:szCs w:val="22"/>
        </w:rPr>
        <w:t>.</w:t>
      </w:r>
    </w:p>
    <w:p w:rsidR="00E76D67" w:rsidRDefault="001F1752">
      <w:pPr>
        <w:ind w:left="567"/>
        <w:jc w:val="right"/>
        <w:rPr>
          <w:rFonts w:ascii="Tahoma" w:eastAsia="Tahoma" w:hAnsi="Tahoma" w:cs="Tahoma"/>
        </w:rPr>
      </w:pPr>
      <w:r>
        <w:rPr>
          <w:rFonts w:ascii="Tahoma" w:eastAsia="Tahoma" w:hAnsi="Tahoma" w:cs="Tahoma"/>
        </w:rPr>
        <w:t xml:space="preserve">Sala das Sessões, </w:t>
      </w:r>
      <w:r w:rsidR="005C6E7C">
        <w:rPr>
          <w:rFonts w:ascii="Tahoma" w:eastAsia="Tahoma" w:hAnsi="Tahoma" w:cs="Tahoma"/>
        </w:rPr>
        <w:t>26</w:t>
      </w:r>
      <w:r>
        <w:rPr>
          <w:rFonts w:ascii="Tahoma" w:eastAsia="Tahoma" w:hAnsi="Tahoma" w:cs="Tahoma"/>
        </w:rPr>
        <w:t xml:space="preserve"> de </w:t>
      </w:r>
      <w:r w:rsidR="00391487">
        <w:rPr>
          <w:rFonts w:ascii="Tahoma" w:eastAsia="Tahoma" w:hAnsi="Tahoma" w:cs="Tahoma"/>
        </w:rPr>
        <w:t>outubr</w:t>
      </w:r>
      <w:bookmarkStart w:id="0" w:name="_GoBack"/>
      <w:bookmarkEnd w:id="0"/>
      <w:r w:rsidR="00C94948">
        <w:rPr>
          <w:rFonts w:ascii="Tahoma" w:eastAsia="Tahoma" w:hAnsi="Tahoma" w:cs="Tahoma"/>
        </w:rPr>
        <w:t>o</w:t>
      </w:r>
      <w:r>
        <w:rPr>
          <w:rFonts w:ascii="Tahoma" w:eastAsia="Tahoma" w:hAnsi="Tahoma" w:cs="Tahoma"/>
        </w:rPr>
        <w:t xml:space="preserve"> de 202</w:t>
      </w:r>
      <w:r w:rsidR="00C94948">
        <w:rPr>
          <w:rFonts w:ascii="Tahoma" w:eastAsia="Tahoma" w:hAnsi="Tahoma" w:cs="Tahoma"/>
        </w:rPr>
        <w:t>3</w:t>
      </w:r>
      <w:r>
        <w:rPr>
          <w:rFonts w:ascii="Tahoma" w:eastAsia="Tahoma" w:hAnsi="Tahoma" w:cs="Tahoma"/>
        </w:rPr>
        <w:t>.</w:t>
      </w:r>
    </w:p>
    <w:p w:rsidR="00D51E29" w:rsidRDefault="00D51E29">
      <w:pPr>
        <w:shd w:val="clear" w:color="auto" w:fill="FFFFFF"/>
        <w:spacing w:before="240" w:after="240"/>
        <w:jc w:val="center"/>
        <w:rPr>
          <w:rFonts w:ascii="Tahoma" w:eastAsia="Tahoma" w:hAnsi="Tahoma" w:cs="Tahoma"/>
          <w:b/>
          <w:sz w:val="23"/>
          <w:szCs w:val="23"/>
        </w:rPr>
      </w:pPr>
    </w:p>
    <w:p w:rsidR="00E76D67" w:rsidRDefault="001F1752" w:rsidP="001D7195">
      <w:pPr>
        <w:shd w:val="clear" w:color="auto" w:fill="FFFFFF"/>
        <w:spacing w:after="240"/>
        <w:jc w:val="center"/>
        <w:rPr>
          <w:rFonts w:ascii="Tahoma" w:eastAsia="Tahoma" w:hAnsi="Tahoma" w:cs="Tahoma"/>
          <w:b/>
          <w:sz w:val="23"/>
          <w:szCs w:val="23"/>
        </w:rPr>
      </w:pPr>
      <w:r>
        <w:rPr>
          <w:rFonts w:ascii="Tahoma" w:eastAsia="Tahoma" w:hAnsi="Tahoma" w:cs="Tahoma"/>
          <w:b/>
          <w:sz w:val="23"/>
          <w:szCs w:val="23"/>
        </w:rPr>
        <w:t xml:space="preserve">                                Daniel Marques                        </w:t>
      </w:r>
      <w:r>
        <w:rPr>
          <w:rFonts w:ascii="Tahoma" w:eastAsia="Tahoma" w:hAnsi="Tahoma" w:cs="Tahoma"/>
          <w:b/>
          <w:sz w:val="23"/>
          <w:szCs w:val="23"/>
        </w:rPr>
        <w:tab/>
      </w:r>
    </w:p>
    <w:p w:rsidR="00391487" w:rsidRDefault="001F1752" w:rsidP="001D7195">
      <w:pPr>
        <w:shd w:val="clear" w:color="auto" w:fill="FFFFFF"/>
        <w:spacing w:after="240"/>
        <w:jc w:val="center"/>
        <w:rPr>
          <w:rFonts w:ascii="Tahoma" w:eastAsia="Tahoma" w:hAnsi="Tahoma" w:cs="Tahoma"/>
          <w:b/>
          <w:sz w:val="23"/>
          <w:szCs w:val="23"/>
        </w:rPr>
      </w:pPr>
      <w:r>
        <w:rPr>
          <w:rFonts w:ascii="Tahoma" w:eastAsia="Tahoma" w:hAnsi="Tahoma" w:cs="Tahoma"/>
          <w:b/>
          <w:sz w:val="23"/>
          <w:szCs w:val="23"/>
        </w:rPr>
        <w:t xml:space="preserve">       Vereador         </w:t>
      </w:r>
    </w:p>
    <w:p w:rsidR="00E76D67" w:rsidRDefault="001F1752">
      <w:pPr>
        <w:spacing w:line="360" w:lineRule="auto"/>
        <w:rPr>
          <w:rFonts w:ascii="Tahoma" w:eastAsia="Tahoma" w:hAnsi="Tahoma" w:cs="Tahoma"/>
          <w:b/>
          <w:sz w:val="22"/>
          <w:szCs w:val="22"/>
        </w:rPr>
      </w:pPr>
      <w:r>
        <w:rPr>
          <w:rFonts w:ascii="Tahoma" w:eastAsia="Tahoma" w:hAnsi="Tahoma" w:cs="Tahoma"/>
          <w:b/>
          <w:sz w:val="22"/>
          <w:szCs w:val="22"/>
        </w:rPr>
        <w:lastRenderedPageBreak/>
        <w:t>JUSTIFICATIVA:</w:t>
      </w:r>
    </w:p>
    <w:p w:rsidR="00E76D67" w:rsidRDefault="00391487"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jc w:val="both"/>
        <w:rPr>
          <w:rFonts w:ascii="Tahoma" w:eastAsia="Tahoma" w:hAnsi="Tahoma" w:cs="Tahoma"/>
        </w:rPr>
      </w:pPr>
      <w:r>
        <w:rPr>
          <w:rFonts w:ascii="Tahoma" w:eastAsia="Tahoma" w:hAnsi="Tahoma" w:cs="Tahoma"/>
        </w:rPr>
        <w:t xml:space="preserve">  O plano diretor a</w:t>
      </w:r>
      <w:r w:rsidR="001F1752">
        <w:rPr>
          <w:rFonts w:ascii="Tahoma" w:eastAsia="Tahoma" w:hAnsi="Tahoma" w:cs="Tahoma"/>
        </w:rPr>
        <w:t xml:space="preserve"> Zona de Amortecimento (ZA, também chamada de “Zona Tampão”) é uma área estabelecida ao redor de uma </w:t>
      </w:r>
      <w:hyperlink r:id="rId7">
        <w:r w:rsidR="001F1752">
          <w:rPr>
            <w:rFonts w:ascii="Tahoma" w:eastAsia="Tahoma" w:hAnsi="Tahoma" w:cs="Tahoma"/>
          </w:rPr>
          <w:t>unidade de conservação</w:t>
        </w:r>
      </w:hyperlink>
      <w:r w:rsidR="001F1752">
        <w:rPr>
          <w:rFonts w:ascii="Tahoma" w:eastAsia="Tahoma" w:hAnsi="Tahoma" w:cs="Tahoma"/>
        </w:rPr>
        <w:t xml:space="preserve"> com o objetivo de filtrar os impactos negativos das atividades que ocorrem fora dela, como: ruídos, poluição, espécies invasoras e avanço da ocupação humana, especialmente nas unidades próximas a áreas intensamente ocupadas.</w:t>
      </w:r>
    </w:p>
    <w:p w:rsidR="00E76D67" w:rsidRDefault="001F1752"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firstLine="220"/>
        <w:jc w:val="both"/>
        <w:rPr>
          <w:rFonts w:ascii="Tahoma" w:eastAsia="Tahoma" w:hAnsi="Tahoma" w:cs="Tahoma"/>
        </w:rPr>
      </w:pPr>
      <w:r>
        <w:rPr>
          <w:rFonts w:ascii="Tahoma" w:eastAsia="Tahoma" w:hAnsi="Tahoma" w:cs="Tahoma"/>
        </w:rPr>
        <w:t xml:space="preserve">      Ela foi criada pelo artigo 2º, inciso XVIII da </w:t>
      </w:r>
      <w:hyperlink r:id="rId8">
        <w:r>
          <w:rPr>
            <w:rFonts w:ascii="Tahoma" w:eastAsia="Tahoma" w:hAnsi="Tahoma" w:cs="Tahoma"/>
          </w:rPr>
          <w:t>Lei do SNUC</w:t>
        </w:r>
      </w:hyperlink>
      <w:r>
        <w:rPr>
          <w:rFonts w:ascii="Tahoma" w:eastAsia="Tahoma" w:hAnsi="Tahoma" w:cs="Tahoma"/>
        </w:rPr>
        <w:t xml:space="preserve"> (</w:t>
      </w:r>
      <w:hyperlink r:id="rId9">
        <w:r>
          <w:rPr>
            <w:rFonts w:ascii="Tahoma" w:eastAsia="Tahoma" w:hAnsi="Tahoma" w:cs="Tahoma"/>
          </w:rPr>
          <w:t>Lei nº 9.985/2000</w:t>
        </w:r>
      </w:hyperlink>
      <w:r>
        <w:rPr>
          <w:rFonts w:ascii="Tahoma" w:eastAsia="Tahoma" w:hAnsi="Tahoma" w:cs="Tahoma"/>
        </w:rPr>
        <w:t xml:space="preserve">), que a define como o “entorno de uma unidade de conservação, onde as atividades humanas estão sujeitas a normas e restrições específicas, com o propósito de minimizar os impactos negativos sobre a unidade”. As zonas de amortecimento não fazem parte das </w:t>
      </w:r>
      <w:proofErr w:type="spellStart"/>
      <w:r>
        <w:rPr>
          <w:rFonts w:ascii="Tahoma" w:eastAsia="Tahoma" w:hAnsi="Tahoma" w:cs="Tahoma"/>
        </w:rPr>
        <w:t>UCs</w:t>
      </w:r>
      <w:proofErr w:type="spellEnd"/>
      <w:r>
        <w:rPr>
          <w:rFonts w:ascii="Tahoma" w:eastAsia="Tahoma" w:hAnsi="Tahoma" w:cs="Tahoma"/>
        </w:rPr>
        <w:t xml:space="preserve"> mas, localizadas no seu entorno, têm a função de proteger sua periferia, ao criar uma área protetiva que não só as defende das atividades humanas, como também previnem a </w:t>
      </w:r>
      <w:hyperlink r:id="rId10">
        <w:r>
          <w:rPr>
            <w:rFonts w:ascii="Tahoma" w:eastAsia="Tahoma" w:hAnsi="Tahoma" w:cs="Tahoma"/>
          </w:rPr>
          <w:t>fragmentação</w:t>
        </w:r>
      </w:hyperlink>
      <w:r>
        <w:rPr>
          <w:rFonts w:ascii="Tahoma" w:eastAsia="Tahoma" w:hAnsi="Tahoma" w:cs="Tahoma"/>
        </w:rPr>
        <w:t>, principalmente, o efeito de borda.</w:t>
      </w:r>
    </w:p>
    <w:p w:rsidR="00E76D67" w:rsidRDefault="001F1752"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firstLine="220"/>
        <w:jc w:val="both"/>
        <w:rPr>
          <w:rFonts w:ascii="Tahoma" w:eastAsia="Tahoma" w:hAnsi="Tahoma" w:cs="Tahoma"/>
        </w:rPr>
      </w:pPr>
      <w:r>
        <w:rPr>
          <w:rFonts w:ascii="Tahoma" w:eastAsia="Tahoma" w:hAnsi="Tahoma" w:cs="Tahoma"/>
        </w:rPr>
        <w:t xml:space="preserve">      A borda da área protegida é uma área sensível a uma gama de efeitos degradadores, o que a torna mais vulnerável a quaisquer alterações físicas (maior penetração do sol e do vento), químicas (luminosidade e umidade do solo) e biológicas (mudanças na interação entre as espécies). Uma ocorrência comum nas zonas limítrofes de áreas naturais, suas fronteiras acabam expostas e, por consequência, se tornam mais frágeis a condições que influenciam negativamente a estabilidade e o equilíbrio do ecossistema.</w:t>
      </w:r>
    </w:p>
    <w:p w:rsidR="00E76D67" w:rsidRDefault="001F1752"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firstLine="786"/>
        <w:jc w:val="both"/>
        <w:rPr>
          <w:rFonts w:ascii="Tahoma" w:eastAsia="Tahoma" w:hAnsi="Tahoma" w:cs="Tahoma"/>
        </w:rPr>
      </w:pPr>
      <w:r>
        <w:rPr>
          <w:rFonts w:ascii="Tahoma" w:eastAsia="Tahoma" w:hAnsi="Tahoma" w:cs="Tahoma"/>
        </w:rPr>
        <w:t>Não são apenas os fatores ecológicos que preocupam a vizinhança das unidades de conservação. Não medindo as consequências de suas ações, atividades humanas desenvolvidas proximamente à área protegida podem afetar significativamente os atributos da unidade. Assim é que a simples criação de uma UC onde as restrições das atividades humanas fossem fixadas apenas dentro dos seus limites legais não seria suficiente para alcançar os objetivos da preservação.</w:t>
      </w:r>
    </w:p>
    <w:p w:rsidR="001D7195" w:rsidRDefault="001D7195"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firstLine="786"/>
        <w:jc w:val="both"/>
        <w:rPr>
          <w:rFonts w:ascii="Tahoma" w:eastAsia="Tahoma" w:hAnsi="Tahoma" w:cs="Tahoma"/>
        </w:rPr>
      </w:pPr>
    </w:p>
    <w:p w:rsidR="001D7195" w:rsidRDefault="001D7195"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firstLine="786"/>
        <w:jc w:val="both"/>
        <w:rPr>
          <w:rFonts w:ascii="Tahoma" w:eastAsia="Tahoma" w:hAnsi="Tahoma" w:cs="Tahoma"/>
        </w:rPr>
      </w:pPr>
    </w:p>
    <w:p w:rsidR="00E76D67" w:rsidRDefault="001F1752"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firstLine="786"/>
        <w:jc w:val="both"/>
        <w:rPr>
          <w:rFonts w:ascii="Tahoma" w:eastAsia="Tahoma" w:hAnsi="Tahoma" w:cs="Tahoma"/>
        </w:rPr>
      </w:pPr>
      <w:r>
        <w:rPr>
          <w:rFonts w:ascii="Tahoma" w:eastAsia="Tahoma" w:hAnsi="Tahoma" w:cs="Tahoma"/>
        </w:rPr>
        <w:lastRenderedPageBreak/>
        <w:t xml:space="preserve">Pela </w:t>
      </w:r>
      <w:hyperlink r:id="rId11">
        <w:r>
          <w:rPr>
            <w:rFonts w:ascii="Tahoma" w:eastAsia="Tahoma" w:hAnsi="Tahoma" w:cs="Tahoma"/>
          </w:rPr>
          <w:t>Resolução CONAMA nº 428, de 17 de dezembro de 2010</w:t>
        </w:r>
      </w:hyperlink>
      <w:r>
        <w:rPr>
          <w:rFonts w:ascii="Tahoma" w:eastAsia="Tahoma" w:hAnsi="Tahoma" w:cs="Tahoma"/>
        </w:rPr>
        <w:t xml:space="preserve">, atividades que possam afetar a zona de amortecimento só terão seu o </w:t>
      </w:r>
      <w:hyperlink r:id="rId12">
        <w:r>
          <w:rPr>
            <w:rFonts w:ascii="Tahoma" w:eastAsia="Tahoma" w:hAnsi="Tahoma" w:cs="Tahoma"/>
          </w:rPr>
          <w:t>licenciamento ambiental</w:t>
        </w:r>
      </w:hyperlink>
      <w:r>
        <w:rPr>
          <w:rFonts w:ascii="Tahoma" w:eastAsia="Tahoma" w:hAnsi="Tahoma" w:cs="Tahoma"/>
        </w:rPr>
        <w:t xml:space="preserve"> concedido após autorização do órgão gestor da unidade de conservação que ela </w:t>
      </w:r>
      <w:proofErr w:type="gramStart"/>
      <w:r>
        <w:rPr>
          <w:rFonts w:ascii="Tahoma" w:eastAsia="Tahoma" w:hAnsi="Tahoma" w:cs="Tahoma"/>
        </w:rPr>
        <w:t>circunda,</w:t>
      </w:r>
      <w:proofErr w:type="gramEnd"/>
      <w:r>
        <w:rPr>
          <w:rFonts w:ascii="Tahoma" w:eastAsia="Tahoma" w:hAnsi="Tahoma" w:cs="Tahoma"/>
        </w:rPr>
        <w:t xml:space="preserve"> que fará tal decisão mediante devidos estudos ambientais (EIA/RIMA). Se a Unidade foi estabelecida sem a definição de zona de amortecimento, empreendimentos com capacidade de impacto significativo ao ambiente deverão respeitar uma faixa estabelecida de 3 km de distância e serão obrigados a obter o licenciamento.</w:t>
      </w:r>
    </w:p>
    <w:p w:rsidR="00E76D67" w:rsidRDefault="001F1752"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firstLine="786"/>
        <w:jc w:val="both"/>
        <w:rPr>
          <w:rFonts w:ascii="Tahoma" w:eastAsia="Tahoma" w:hAnsi="Tahoma" w:cs="Tahoma"/>
        </w:rPr>
      </w:pPr>
      <w:r>
        <w:rPr>
          <w:rFonts w:ascii="Tahoma" w:eastAsia="Tahoma" w:hAnsi="Tahoma" w:cs="Tahoma"/>
        </w:rPr>
        <w:t>Definida pelo art. 2º da Lei do SNUC como a região do “entorno das unidades de conservação, onde as atividades humanas estão sujeitas a normas e restrições específicas, com o propósito de minimizar os impactos negativos sobre a unidade” as zonas de amortecimento se inserem no Sistema Nacional de Unidades de Conservação com o objetivo de contribuir para a manutenção da estabilidade e equilíbrio do ecossistema garantindo a integridade da área protegida.</w:t>
      </w:r>
    </w:p>
    <w:p w:rsidR="00E76D67" w:rsidRDefault="001F1752"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firstLine="786"/>
        <w:jc w:val="both"/>
        <w:rPr>
          <w:rFonts w:ascii="Tahoma" w:eastAsia="Tahoma" w:hAnsi="Tahoma" w:cs="Tahoma"/>
        </w:rPr>
      </w:pPr>
      <w:r>
        <w:rPr>
          <w:rFonts w:ascii="Tahoma" w:eastAsia="Tahoma" w:hAnsi="Tahoma" w:cs="Tahoma"/>
        </w:rPr>
        <w:t>Como a própria definição legal deixa transparecer, a finalidade da zona de amortecimento consiste na contenção dos efeitos externos que possam de alguma maneira influenciar negativamente na conservação da unidade. Desta maneira, mesmo não prevendo expressamente como seu objetivo a proteção aos reflexos ecológicos provocados pelo entorno, destinam-se às zonas de amortecimento a minimizar as conseqüências do efeito borda, de ocorrência comum nas zonas limítrofes, estabelecendo uma gradatividade na separação entre os ambientes da área protegida e de sua região envoltória, além de impedir que atuações antrópicas interfiram prejudicialmente na manutenção da diversidade biológica.</w:t>
      </w:r>
    </w:p>
    <w:p w:rsidR="00E76D67" w:rsidRDefault="001F1752" w:rsidP="001D7195">
      <w:pPr>
        <w:pBdr>
          <w:top w:val="none" w:sz="0" w:space="0" w:color="000000"/>
          <w:left w:val="none" w:sz="0" w:space="0" w:color="000000"/>
          <w:bottom w:val="none" w:sz="0" w:space="11" w:color="000000"/>
          <w:right w:val="none" w:sz="0" w:space="0" w:color="000000"/>
        </w:pBdr>
        <w:shd w:val="clear" w:color="auto" w:fill="FFFFFF"/>
        <w:spacing w:after="240" w:line="360" w:lineRule="auto"/>
        <w:ind w:left="-220" w:right="-220" w:firstLine="786"/>
        <w:jc w:val="both"/>
        <w:rPr>
          <w:rFonts w:ascii="Arial" w:eastAsia="Arial" w:hAnsi="Arial" w:cs="Arial"/>
        </w:rPr>
      </w:pPr>
      <w:r>
        <w:rPr>
          <w:rFonts w:ascii="Tahoma" w:eastAsia="Tahoma" w:hAnsi="Tahoma" w:cs="Tahoma"/>
          <w:color w:val="0C0C0C"/>
        </w:rPr>
        <w:t>Dessa forma, essa emenda se faz necessária, para resguardar fatores mínimos adequados na proteção da fauna e da flora, assim</w:t>
      </w:r>
      <w:r>
        <w:rPr>
          <w:rFonts w:ascii="Tahoma" w:eastAsia="Tahoma" w:hAnsi="Tahoma" w:cs="Tahoma"/>
        </w:rPr>
        <w:t xml:space="preserve"> conto com o apoio dos Nobres Pares para aprovação da presente emenda.</w:t>
      </w:r>
    </w:p>
    <w:p w:rsidR="00E76D67" w:rsidRPr="001D7195" w:rsidRDefault="00E76D67" w:rsidP="001D7195">
      <w:pPr>
        <w:jc w:val="center"/>
        <w:rPr>
          <w:rFonts w:ascii="Tahoma" w:eastAsia="Tahoma" w:hAnsi="Tahoma" w:cs="Tahoma"/>
          <w:sz w:val="22"/>
          <w:szCs w:val="22"/>
        </w:rPr>
      </w:pPr>
    </w:p>
    <w:sectPr w:rsidR="00E76D67" w:rsidRPr="001D7195" w:rsidSect="00E76D67">
      <w:headerReference w:type="default" r:id="rId13"/>
      <w:footerReference w:type="default" r:id="rId14"/>
      <w:pgSz w:w="11905" w:h="16837"/>
      <w:pgMar w:top="1842" w:right="706" w:bottom="543" w:left="1005"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682B" w:rsidRDefault="00B0682B" w:rsidP="00E76D67">
      <w:r>
        <w:separator/>
      </w:r>
    </w:p>
  </w:endnote>
  <w:endnote w:type="continuationSeparator" w:id="1">
    <w:p w:rsidR="00B0682B" w:rsidRDefault="00B0682B" w:rsidP="00E76D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195" w:rsidRPr="001D7195" w:rsidRDefault="001D7195" w:rsidP="001D7195">
    <w:pPr>
      <w:pBdr>
        <w:top w:val="nil"/>
        <w:left w:val="nil"/>
        <w:bottom w:val="nil"/>
        <w:right w:val="nil"/>
        <w:between w:val="nil"/>
      </w:pBdr>
      <w:tabs>
        <w:tab w:val="center" w:pos="4252"/>
        <w:tab w:val="right" w:pos="8504"/>
      </w:tabs>
      <w:jc w:val="center"/>
      <w:rPr>
        <w:rFonts w:ascii="Tahoma" w:eastAsia="Tahoma" w:hAnsi="Tahoma" w:cs="Tahoma"/>
        <w:b/>
        <w:i/>
        <w:sz w:val="16"/>
        <w:szCs w:val="16"/>
      </w:rPr>
    </w:pPr>
    <w:r>
      <w:rPr>
        <w:rFonts w:ascii="Tahoma" w:eastAsia="Tahoma" w:hAnsi="Tahoma" w:cs="Tahoma"/>
        <w:b/>
        <w:i/>
        <w:sz w:val="16"/>
        <w:szCs w:val="16"/>
      </w:rPr>
      <w:t xml:space="preserve">            </w:t>
    </w:r>
    <w:r w:rsidRPr="001D7195">
      <w:rPr>
        <w:rFonts w:ascii="Tahoma" w:eastAsia="Tahoma" w:hAnsi="Tahoma" w:cs="Tahoma"/>
        <w:b/>
        <w:i/>
        <w:sz w:val="16"/>
        <w:szCs w:val="16"/>
      </w:rPr>
      <w:t>Av. Amaral Peixoto, 625 / Gabinete: 30 – Centro – Niterói – RJ – CEP</w:t>
    </w:r>
    <w:proofErr w:type="gramStart"/>
    <w:r w:rsidRPr="001D7195">
      <w:rPr>
        <w:rFonts w:ascii="Tahoma" w:eastAsia="Tahoma" w:hAnsi="Tahoma" w:cs="Tahoma"/>
        <w:b/>
        <w:i/>
        <w:sz w:val="16"/>
        <w:szCs w:val="16"/>
      </w:rPr>
      <w:t>.:</w:t>
    </w:r>
    <w:proofErr w:type="gramEnd"/>
    <w:r w:rsidRPr="001D7195">
      <w:rPr>
        <w:rFonts w:ascii="Tahoma" w:eastAsia="Tahoma" w:hAnsi="Tahoma" w:cs="Tahoma"/>
        <w:b/>
        <w:i/>
        <w:sz w:val="16"/>
        <w:szCs w:val="16"/>
      </w:rPr>
      <w:t xml:space="preserve"> 24.023-900   </w:t>
    </w:r>
    <w:r>
      <w:rPr>
        <w:rFonts w:ascii="Tahoma" w:eastAsia="Tahoma" w:hAnsi="Tahoma" w:cs="Tahoma"/>
        <w:b/>
        <w:i/>
        <w:sz w:val="16"/>
        <w:szCs w:val="16"/>
      </w:rPr>
      <w:t xml:space="preserve">-    </w:t>
    </w:r>
    <w:r w:rsidRPr="001D7195">
      <w:rPr>
        <w:rFonts w:ascii="Tahoma" w:eastAsia="Tahoma" w:hAnsi="Tahoma" w:cs="Tahoma"/>
        <w:b/>
        <w:i/>
        <w:sz w:val="16"/>
        <w:szCs w:val="16"/>
      </w:rPr>
      <w:t>RG</w:t>
    </w:r>
  </w:p>
  <w:p w:rsidR="001D7195" w:rsidRPr="001D7195" w:rsidRDefault="001D7195" w:rsidP="001D7195">
    <w:pPr>
      <w:pBdr>
        <w:top w:val="nil"/>
        <w:left w:val="nil"/>
        <w:bottom w:val="nil"/>
        <w:right w:val="nil"/>
        <w:between w:val="nil"/>
      </w:pBdr>
      <w:tabs>
        <w:tab w:val="center" w:pos="4252"/>
        <w:tab w:val="right" w:pos="8504"/>
      </w:tabs>
      <w:jc w:val="center"/>
      <w:rPr>
        <w:rFonts w:ascii="Tahoma" w:hAnsi="Tahoma" w:cs="Tahoma"/>
        <w:b/>
        <w:i/>
        <w:sz w:val="16"/>
        <w:szCs w:val="16"/>
      </w:rPr>
    </w:pPr>
    <w:r w:rsidRPr="001D7195">
      <w:rPr>
        <w:rFonts w:ascii="Tahoma" w:eastAsia="Tahoma" w:hAnsi="Tahoma" w:cs="Tahoma"/>
        <w:b/>
        <w:i/>
        <w:sz w:val="16"/>
        <w:szCs w:val="16"/>
      </w:rPr>
      <w:t>Telefone fixo</w:t>
    </w:r>
    <w:proofErr w:type="gramStart"/>
    <w:r w:rsidRPr="001D7195">
      <w:rPr>
        <w:rFonts w:ascii="Tahoma" w:eastAsia="Tahoma" w:hAnsi="Tahoma" w:cs="Tahoma"/>
        <w:b/>
        <w:i/>
        <w:sz w:val="16"/>
        <w:szCs w:val="16"/>
      </w:rPr>
      <w:t xml:space="preserve"> </w:t>
    </w:r>
    <w:r w:rsidRPr="001D7195">
      <w:rPr>
        <w:rFonts w:ascii="Tahoma" w:hAnsi="Tahoma" w:cs="Tahoma"/>
        <w:b/>
        <w:i/>
        <w:sz w:val="16"/>
        <w:szCs w:val="16"/>
      </w:rPr>
      <w:t xml:space="preserve"> </w:t>
    </w:r>
    <w:proofErr w:type="gramEnd"/>
    <w:r w:rsidRPr="001D7195">
      <w:rPr>
        <w:rFonts w:ascii="Tahoma" w:hAnsi="Tahoma" w:cs="Tahoma"/>
        <w:b/>
        <w:i/>
        <w:sz w:val="16"/>
        <w:szCs w:val="16"/>
      </w:rPr>
      <w:t xml:space="preserve">– 2620.1321 – Telefone móvel </w:t>
    </w:r>
    <w:proofErr w:type="spellStart"/>
    <w:r w:rsidRPr="001D7195">
      <w:rPr>
        <w:rFonts w:ascii="Tahoma" w:hAnsi="Tahoma" w:cs="Tahoma"/>
        <w:b/>
        <w:i/>
        <w:sz w:val="16"/>
        <w:szCs w:val="16"/>
      </w:rPr>
      <w:t>Whatsapp</w:t>
    </w:r>
    <w:proofErr w:type="spellEnd"/>
    <w:r>
      <w:rPr>
        <w:rFonts w:ascii="Tahoma" w:hAnsi="Tahoma" w:cs="Tahoma"/>
        <w:b/>
        <w:i/>
        <w:sz w:val="16"/>
        <w:szCs w:val="16"/>
      </w:rPr>
      <w:t xml:space="preserve"> – 99315 - 2332</w:t>
    </w:r>
    <w:r w:rsidRPr="001D7195">
      <w:rPr>
        <w:rFonts w:ascii="Tahoma" w:hAnsi="Tahoma" w:cs="Tahoma"/>
        <w:b/>
        <w:i/>
        <w:sz w:val="16"/>
        <w:szCs w:val="16"/>
      </w:rPr>
      <w:t xml:space="preserve">  </w:t>
    </w:r>
  </w:p>
  <w:p w:rsidR="001D7195" w:rsidRPr="001D7195" w:rsidRDefault="001D7195" w:rsidP="001D7195">
    <w:pPr>
      <w:pBdr>
        <w:top w:val="nil"/>
        <w:left w:val="nil"/>
        <w:bottom w:val="nil"/>
        <w:right w:val="nil"/>
        <w:between w:val="nil"/>
      </w:pBdr>
      <w:tabs>
        <w:tab w:val="center" w:pos="4252"/>
        <w:tab w:val="right" w:pos="8504"/>
      </w:tabs>
      <w:jc w:val="center"/>
      <w:rPr>
        <w:rFonts w:ascii="Tahoma" w:eastAsia="Tahoma" w:hAnsi="Tahoma" w:cs="Tahoma"/>
        <w:b/>
        <w:i/>
        <w:sz w:val="16"/>
        <w:szCs w:val="16"/>
      </w:rPr>
    </w:pPr>
    <w:proofErr w:type="spellStart"/>
    <w:r w:rsidRPr="001D7195">
      <w:rPr>
        <w:rFonts w:ascii="Tahoma" w:eastAsia="Tahoma" w:hAnsi="Tahoma" w:cs="Tahoma"/>
        <w:b/>
        <w:i/>
        <w:sz w:val="16"/>
        <w:szCs w:val="16"/>
      </w:rPr>
      <w:t>E-mail</w:t>
    </w:r>
    <w:proofErr w:type="spellEnd"/>
    <w:r w:rsidRPr="001D7195">
      <w:rPr>
        <w:rFonts w:ascii="Tahoma" w:eastAsia="Tahoma" w:hAnsi="Tahoma" w:cs="Tahoma"/>
        <w:b/>
        <w:i/>
        <w:sz w:val="16"/>
        <w:szCs w:val="16"/>
      </w:rPr>
      <w:t>: vereadordanielmarques@gmail.com</w:t>
    </w:r>
  </w:p>
  <w:p w:rsidR="001D7195" w:rsidRPr="001D7195" w:rsidRDefault="001D7195">
    <w:pPr>
      <w:pStyle w:val="Rodap"/>
      <w:rPr>
        <w:rFonts w:ascii="Tahoma" w:hAnsi="Tahoma" w:cs="Tahom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682B" w:rsidRDefault="00B0682B" w:rsidP="00E76D67">
      <w:r>
        <w:separator/>
      </w:r>
    </w:p>
  </w:footnote>
  <w:footnote w:type="continuationSeparator" w:id="1">
    <w:p w:rsidR="00B0682B" w:rsidRDefault="00B0682B" w:rsidP="00E76D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D67" w:rsidRDefault="00E76D67">
    <w:pPr>
      <w:pBdr>
        <w:top w:val="nil"/>
        <w:left w:val="nil"/>
        <w:bottom w:val="nil"/>
        <w:right w:val="nil"/>
        <w:between w:val="nil"/>
      </w:pBdr>
      <w:spacing w:line="276" w:lineRule="auto"/>
      <w:rPr>
        <w:rFonts w:ascii="Tahoma" w:eastAsia="Tahoma" w:hAnsi="Tahoma" w:cs="Tahoma"/>
        <w:sz w:val="22"/>
        <w:szCs w:val="22"/>
      </w:rPr>
    </w:pPr>
  </w:p>
  <w:tbl>
    <w:tblPr>
      <w:tblStyle w:val="a7"/>
      <w:tblW w:w="9648" w:type="dxa"/>
      <w:tblInd w:w="108" w:type="dxa"/>
      <w:tblLayout w:type="fixed"/>
      <w:tblLook w:val="0000"/>
    </w:tblPr>
    <w:tblGrid>
      <w:gridCol w:w="1728"/>
      <w:gridCol w:w="7920"/>
    </w:tblGrid>
    <w:tr w:rsidR="00E76D67">
      <w:trPr>
        <w:cantSplit/>
        <w:trHeight w:val="1950"/>
        <w:tblHeader/>
      </w:trPr>
      <w:tc>
        <w:tcPr>
          <w:tcW w:w="1728" w:type="dxa"/>
        </w:tcPr>
        <w:p w:rsidR="00E76D67" w:rsidRDefault="001F1752">
          <w:pPr>
            <w:pBdr>
              <w:top w:val="nil"/>
              <w:left w:val="nil"/>
              <w:bottom w:val="nil"/>
              <w:right w:val="nil"/>
              <w:between w:val="nil"/>
            </w:pBdr>
            <w:tabs>
              <w:tab w:val="center" w:pos="4252"/>
              <w:tab w:val="right" w:pos="8504"/>
            </w:tabs>
            <w:rPr>
              <w:rFonts w:ascii="Arial" w:eastAsia="Arial" w:hAnsi="Arial" w:cs="Arial"/>
              <w:color w:val="000000"/>
            </w:rPr>
          </w:pPr>
          <w:r>
            <w:rPr>
              <w:rFonts w:eastAsia="Times New Roman"/>
              <w:noProof/>
              <w:color w:val="000000"/>
              <w:lang w:eastAsia="pt-BR"/>
            </w:rPr>
            <w:drawing>
              <wp:inline distT="0" distB="0" distL="0" distR="0">
                <wp:extent cx="933450" cy="1123950"/>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E76D67" w:rsidRDefault="00E76D67">
          <w:pPr>
            <w:pBdr>
              <w:top w:val="nil"/>
              <w:left w:val="nil"/>
              <w:bottom w:val="nil"/>
              <w:right w:val="nil"/>
              <w:between w:val="nil"/>
            </w:pBdr>
            <w:tabs>
              <w:tab w:val="center" w:pos="4252"/>
              <w:tab w:val="right" w:pos="8504"/>
            </w:tabs>
            <w:rPr>
              <w:rFonts w:ascii="Arial" w:eastAsia="Arial" w:hAnsi="Arial" w:cs="Arial"/>
              <w:color w:val="000000"/>
            </w:rPr>
          </w:pPr>
        </w:p>
        <w:p w:rsidR="00E76D67" w:rsidRDefault="00E76D67">
          <w:pPr>
            <w:pBdr>
              <w:top w:val="nil"/>
              <w:left w:val="nil"/>
              <w:bottom w:val="nil"/>
              <w:right w:val="nil"/>
              <w:between w:val="nil"/>
            </w:pBdr>
            <w:tabs>
              <w:tab w:val="center" w:pos="4252"/>
              <w:tab w:val="right" w:pos="8504"/>
            </w:tabs>
            <w:rPr>
              <w:rFonts w:ascii="Arial" w:eastAsia="Arial" w:hAnsi="Arial" w:cs="Arial"/>
              <w:color w:val="000000"/>
            </w:rPr>
          </w:pPr>
        </w:p>
        <w:p w:rsidR="00E76D67" w:rsidRDefault="001F1752">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E76D67" w:rsidRDefault="00E76D67">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E76D67" w:rsidRDefault="001F1752">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Gabinete Vereador Daniel Marques</w:t>
          </w:r>
        </w:p>
        <w:p w:rsidR="00E76D67" w:rsidRDefault="00E76D67">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rsidR="00E76D67" w:rsidRDefault="00E76D67">
    <w:pPr>
      <w:pBdr>
        <w:top w:val="nil"/>
        <w:left w:val="nil"/>
        <w:bottom w:val="nil"/>
        <w:right w:val="nil"/>
        <w:between w:val="nil"/>
      </w:pBdr>
      <w:tabs>
        <w:tab w:val="center" w:pos="4252"/>
        <w:tab w:val="right" w:pos="8504"/>
      </w:tabs>
      <w:rPr>
        <w:rFonts w:eastAsia="Times New Roman"/>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20"/>
  <w:hyphenationZone w:val="425"/>
  <w:characterSpacingControl w:val="doNotCompress"/>
  <w:footnotePr>
    <w:footnote w:id="0"/>
    <w:footnote w:id="1"/>
  </w:footnotePr>
  <w:endnotePr>
    <w:endnote w:id="0"/>
    <w:endnote w:id="1"/>
  </w:endnotePr>
  <w:compat/>
  <w:rsids>
    <w:rsidRoot w:val="00E76D67"/>
    <w:rsid w:val="00053AA8"/>
    <w:rsid w:val="001A171D"/>
    <w:rsid w:val="001A6CB3"/>
    <w:rsid w:val="001D7195"/>
    <w:rsid w:val="001F1752"/>
    <w:rsid w:val="0035147F"/>
    <w:rsid w:val="00391487"/>
    <w:rsid w:val="005963C6"/>
    <w:rsid w:val="005C6E7C"/>
    <w:rsid w:val="00673405"/>
    <w:rsid w:val="008C3B92"/>
    <w:rsid w:val="009D2B3C"/>
    <w:rsid w:val="00B0682B"/>
    <w:rsid w:val="00C94948"/>
    <w:rsid w:val="00D51E29"/>
    <w:rsid w:val="00DB1FC3"/>
    <w:rsid w:val="00E76D67"/>
    <w:rsid w:val="00E8240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7"/>
    <w:next w:val="Normal7"/>
    <w:rsid w:val="00E76D67"/>
    <w:pPr>
      <w:keepNext/>
      <w:keepLines/>
      <w:spacing w:before="360" w:after="80"/>
      <w:outlineLvl w:val="1"/>
    </w:pPr>
    <w:rPr>
      <w:b/>
      <w:sz w:val="36"/>
      <w:szCs w:val="36"/>
    </w:rPr>
  </w:style>
  <w:style w:type="paragraph" w:styleId="Ttulo3">
    <w:name w:val="heading 3"/>
    <w:basedOn w:val="Normal7"/>
    <w:next w:val="Normal7"/>
    <w:rsid w:val="00E76D67"/>
    <w:pPr>
      <w:keepNext/>
      <w:keepLines/>
      <w:spacing w:before="280" w:after="80"/>
      <w:outlineLvl w:val="2"/>
    </w:pPr>
    <w:rPr>
      <w:b/>
      <w:sz w:val="28"/>
      <w:szCs w:val="28"/>
    </w:rPr>
  </w:style>
  <w:style w:type="paragraph" w:styleId="Ttulo4">
    <w:name w:val="heading 4"/>
    <w:basedOn w:val="Normal7"/>
    <w:next w:val="Normal7"/>
    <w:rsid w:val="00E76D67"/>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7"/>
    <w:next w:val="Normal7"/>
    <w:rsid w:val="00E76D6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E76D67"/>
  </w:style>
  <w:style w:type="table" w:customStyle="1" w:styleId="TableNormal">
    <w:name w:val="Table Normal"/>
    <w:rsid w:val="00E76D67"/>
    <w:tblPr>
      <w:tblCellMar>
        <w:top w:w="0" w:type="dxa"/>
        <w:left w:w="0" w:type="dxa"/>
        <w:bottom w:w="0" w:type="dxa"/>
        <w:right w:w="0" w:type="dxa"/>
      </w:tblCellMar>
    </w:tblPr>
  </w:style>
  <w:style w:type="paragraph" w:styleId="Ttulo">
    <w:name w:val="Title"/>
    <w:basedOn w:val="Normal7"/>
    <w:next w:val="Normal7"/>
    <w:rsid w:val="00E76D67"/>
    <w:pPr>
      <w:keepNext/>
      <w:keepLines/>
      <w:spacing w:before="480" w:after="120"/>
    </w:pPr>
    <w:rPr>
      <w:b/>
      <w:sz w:val="72"/>
      <w:szCs w:val="72"/>
    </w:rPr>
  </w:style>
  <w:style w:type="paragraph" w:customStyle="1" w:styleId="Normal2">
    <w:name w:val="Normal2"/>
    <w:rsid w:val="00E76D67"/>
  </w:style>
  <w:style w:type="table" w:customStyle="1" w:styleId="TableNormal0">
    <w:name w:val="Table Normal"/>
    <w:rsid w:val="00E76D67"/>
    <w:tblPr>
      <w:tblCellMar>
        <w:top w:w="0" w:type="dxa"/>
        <w:left w:w="0" w:type="dxa"/>
        <w:bottom w:w="0" w:type="dxa"/>
        <w:right w:w="0" w:type="dxa"/>
      </w:tblCellMar>
    </w:tblPr>
  </w:style>
  <w:style w:type="paragraph" w:customStyle="1" w:styleId="Normal3">
    <w:name w:val="Normal3"/>
    <w:rsid w:val="00E76D67"/>
  </w:style>
  <w:style w:type="table" w:customStyle="1" w:styleId="TableNormal1">
    <w:name w:val="Table Normal"/>
    <w:rsid w:val="00E76D67"/>
    <w:tblPr>
      <w:tblCellMar>
        <w:top w:w="0" w:type="dxa"/>
        <w:left w:w="0" w:type="dxa"/>
        <w:bottom w:w="0" w:type="dxa"/>
        <w:right w:w="0" w:type="dxa"/>
      </w:tblCellMar>
    </w:tblPr>
  </w:style>
  <w:style w:type="paragraph" w:customStyle="1" w:styleId="Normal4">
    <w:name w:val="Normal4"/>
    <w:rsid w:val="00E76D67"/>
  </w:style>
  <w:style w:type="table" w:customStyle="1" w:styleId="TableNormal2">
    <w:name w:val="Table Normal"/>
    <w:rsid w:val="00E76D67"/>
    <w:tblPr>
      <w:tblCellMar>
        <w:top w:w="0" w:type="dxa"/>
        <w:left w:w="0" w:type="dxa"/>
        <w:bottom w:w="0" w:type="dxa"/>
        <w:right w:w="0" w:type="dxa"/>
      </w:tblCellMar>
    </w:tblPr>
  </w:style>
  <w:style w:type="paragraph" w:customStyle="1" w:styleId="Normal5">
    <w:name w:val="Normal5"/>
    <w:rsid w:val="00E76D67"/>
  </w:style>
  <w:style w:type="table" w:customStyle="1" w:styleId="TableNormal3">
    <w:name w:val="Table Normal"/>
    <w:rsid w:val="00E76D67"/>
    <w:tblPr>
      <w:tblCellMar>
        <w:top w:w="0" w:type="dxa"/>
        <w:left w:w="0" w:type="dxa"/>
        <w:bottom w:w="0" w:type="dxa"/>
        <w:right w:w="0" w:type="dxa"/>
      </w:tblCellMar>
    </w:tblPr>
  </w:style>
  <w:style w:type="paragraph" w:customStyle="1" w:styleId="Normal6">
    <w:name w:val="Normal6"/>
    <w:rsid w:val="00E76D67"/>
  </w:style>
  <w:style w:type="table" w:customStyle="1" w:styleId="TableNormal4">
    <w:name w:val="Table Normal"/>
    <w:rsid w:val="00E76D67"/>
    <w:tblPr>
      <w:tblCellMar>
        <w:top w:w="0" w:type="dxa"/>
        <w:left w:w="0" w:type="dxa"/>
        <w:bottom w:w="0" w:type="dxa"/>
        <w:right w:w="0" w:type="dxa"/>
      </w:tblCellMar>
    </w:tblPr>
  </w:style>
  <w:style w:type="paragraph" w:customStyle="1" w:styleId="Normal7">
    <w:name w:val="Normal7"/>
    <w:rsid w:val="00E76D67"/>
  </w:style>
  <w:style w:type="table" w:customStyle="1" w:styleId="TableNormal5">
    <w:name w:val="Table Normal"/>
    <w:rsid w:val="00E76D67"/>
    <w:tblPr>
      <w:tblCellMar>
        <w:top w:w="0" w:type="dxa"/>
        <w:left w:w="0" w:type="dxa"/>
        <w:bottom w:w="0" w:type="dxa"/>
        <w:right w:w="0" w:type="dxa"/>
      </w:tblCellMar>
    </w:tbl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0">
    <w:name w:val="Normal1"/>
    <w:basedOn w:val="Normal"/>
    <w:rsid w:val="00427981"/>
    <w:rPr>
      <w:b/>
      <w:i/>
      <w:sz w:val="32"/>
      <w:szCs w:val="20"/>
    </w:rPr>
  </w:style>
  <w:style w:type="paragraph" w:customStyle="1" w:styleId="Legenda1">
    <w:name w:val="Legenda1"/>
    <w:basedOn w:val="Normal10"/>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E76D67"/>
    <w:pPr>
      <w:keepNext/>
      <w:keepLines/>
      <w:spacing w:before="360" w:after="80"/>
    </w:pPr>
    <w:rPr>
      <w:rFonts w:ascii="Georgia" w:eastAsia="Georgia" w:hAnsi="Georgia" w:cs="Georgia"/>
      <w:i/>
      <w:color w:val="666666"/>
      <w:sz w:val="48"/>
      <w:szCs w:val="48"/>
    </w:rPr>
  </w:style>
  <w:style w:type="table" w:customStyle="1" w:styleId="a">
    <w:basedOn w:val="TableNormal5"/>
    <w:rsid w:val="00E76D67"/>
    <w:tblPr>
      <w:tblStyleRowBandSize w:val="1"/>
      <w:tblStyleColBandSize w:val="1"/>
      <w:tblCellMar>
        <w:top w:w="0" w:type="dxa"/>
        <w:left w:w="115" w:type="dxa"/>
        <w:bottom w:w="0" w:type="dxa"/>
        <w:right w:w="115" w:type="dxa"/>
      </w:tblCellMar>
    </w:tblPr>
  </w:style>
  <w:style w:type="table" w:customStyle="1" w:styleId="a0">
    <w:basedOn w:val="TableNormal5"/>
    <w:rsid w:val="00E76D67"/>
    <w:tblPr>
      <w:tblStyleRowBandSize w:val="1"/>
      <w:tblStyleColBandSize w:val="1"/>
      <w:tblCellMar>
        <w:top w:w="0" w:type="dxa"/>
        <w:left w:w="115" w:type="dxa"/>
        <w:bottom w:w="0" w:type="dxa"/>
        <w:right w:w="115" w:type="dxa"/>
      </w:tblCellMar>
    </w:tblPr>
  </w:style>
  <w:style w:type="table" w:customStyle="1" w:styleId="a1">
    <w:basedOn w:val="TableNormal5"/>
    <w:rsid w:val="00E76D67"/>
    <w:tblPr>
      <w:tblStyleRowBandSize w:val="1"/>
      <w:tblStyleColBandSize w:val="1"/>
      <w:tblCellMar>
        <w:top w:w="0" w:type="dxa"/>
        <w:left w:w="115" w:type="dxa"/>
        <w:bottom w:w="0" w:type="dxa"/>
        <w:right w:w="115" w:type="dxa"/>
      </w:tblCellMar>
    </w:tblPr>
  </w:style>
  <w:style w:type="table" w:customStyle="1" w:styleId="a2">
    <w:basedOn w:val="TableNormal5"/>
    <w:rsid w:val="00E76D67"/>
    <w:tblPr>
      <w:tblStyleRowBandSize w:val="1"/>
      <w:tblStyleColBandSize w:val="1"/>
      <w:tblCellMar>
        <w:top w:w="100" w:type="dxa"/>
        <w:left w:w="100" w:type="dxa"/>
        <w:bottom w:w="100" w:type="dxa"/>
        <w:right w:w="100" w:type="dxa"/>
      </w:tblCellMar>
    </w:tblPr>
  </w:style>
  <w:style w:type="table" w:customStyle="1" w:styleId="a3">
    <w:basedOn w:val="TableNormal5"/>
    <w:rsid w:val="00E76D67"/>
    <w:tblPr>
      <w:tblStyleRowBandSize w:val="1"/>
      <w:tblStyleColBandSize w:val="1"/>
      <w:tblCellMar>
        <w:top w:w="100" w:type="dxa"/>
        <w:left w:w="100" w:type="dxa"/>
        <w:bottom w:w="100" w:type="dxa"/>
        <w:right w:w="100" w:type="dxa"/>
      </w:tblCellMar>
    </w:tblPr>
  </w:style>
  <w:style w:type="table" w:customStyle="1" w:styleId="a4">
    <w:basedOn w:val="TableNormal5"/>
    <w:rsid w:val="00E76D67"/>
    <w:tblPr>
      <w:tblStyleRowBandSize w:val="1"/>
      <w:tblStyleColBandSize w:val="1"/>
      <w:tblCellMar>
        <w:top w:w="0" w:type="dxa"/>
        <w:left w:w="115" w:type="dxa"/>
        <w:bottom w:w="0" w:type="dxa"/>
        <w:right w:w="115" w:type="dxa"/>
      </w:tblCellMar>
    </w:tblPr>
  </w:style>
  <w:style w:type="table" w:customStyle="1" w:styleId="a5">
    <w:basedOn w:val="TableNormal5"/>
    <w:rsid w:val="00E76D67"/>
    <w:tblPr>
      <w:tblStyleRowBandSize w:val="1"/>
      <w:tblStyleColBandSize w:val="1"/>
      <w:tblCellMar>
        <w:top w:w="0" w:type="dxa"/>
        <w:left w:w="115" w:type="dxa"/>
        <w:bottom w:w="0" w:type="dxa"/>
        <w:right w:w="115" w:type="dxa"/>
      </w:tblCellMar>
    </w:tblPr>
  </w:style>
  <w:style w:type="table" w:customStyle="1" w:styleId="a6">
    <w:basedOn w:val="TableNormal5"/>
    <w:rsid w:val="00E76D67"/>
    <w:tblPr>
      <w:tblStyleRowBandSize w:val="1"/>
      <w:tblStyleColBandSize w:val="1"/>
      <w:tblCellMar>
        <w:top w:w="0" w:type="dxa"/>
        <w:left w:w="115" w:type="dxa"/>
        <w:bottom w:w="0" w:type="dxa"/>
        <w:right w:w="115" w:type="dxa"/>
      </w:tblCellMar>
    </w:tblPr>
  </w:style>
  <w:style w:type="table" w:customStyle="1" w:styleId="a7">
    <w:basedOn w:val="TableNormal5"/>
    <w:rsid w:val="00E76D67"/>
    <w:tblPr>
      <w:tblStyleRowBandSize w:val="1"/>
      <w:tblStyleColBandSize w:val="1"/>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oeco.org.br/dicionario-ambiental/28754-o-que-e-uma-zona-de-amortecimento/dicionario-ambiental/28223-o-que-e-o-snuc"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oeco.org.br/dicionario-ambiental/28754-o-que-e-uma-zona-de-amortecimento/especial/27099-o-que-sao-unidades-de-conservacao" TargetMode="External"/><Relationship Id="rId12" Type="http://schemas.openxmlformats.org/officeDocument/2006/relationships/hyperlink" Target="https://oeco.org.br/dicionario-ambiental/28754-o-que-e-uma-zona-de-amortecimento/dicionario-ambiental/27321-o-que-e-licenciamento-ambienta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mma.gov.br/port/conama/legiabre.cfm?codlegi=64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oeco.org.br/dicionario-ambiental/28754-o-que-e-uma-zona-de-amortecimento/dicionario-ambiental/27923-o-que-e-fragmentacao" TargetMode="External"/><Relationship Id="rId4" Type="http://schemas.openxmlformats.org/officeDocument/2006/relationships/webSettings" Target="webSettings.xml"/><Relationship Id="rId9" Type="http://schemas.openxmlformats.org/officeDocument/2006/relationships/hyperlink" Target="http://www.planalto.gov.br/ccivil_03/leis/l9985.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WJmbQXiWsFhuXf2idEe/ECv03A==">AMUW2mWJMIy4wzMAnRv1F2WZbw6uN2/NM4zYMDRIlq47DBBERvk5qdO6zFHgR8/uSH0S54rG+t0K70kIBRmOkKHrkUdmch4AyJ3eDHuElpc7u6vXitfc3xc=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912</Words>
  <Characters>4926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2022-03-09T17:01:00Z</cp:lastPrinted>
  <dcterms:created xsi:type="dcterms:W3CDTF">2024-01-10T17:20:00Z</dcterms:created>
  <dcterms:modified xsi:type="dcterms:W3CDTF">2024-01-10T17:20:00Z</dcterms:modified>
</cp:coreProperties>
</file>