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 193/   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IMPLEMENTAÇÃO DE CALÇADAS ACESSÍVEIS ao Projeto de Lei Nº   193/ 2023.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IMPLEMENTAÇÃO DE CALÇADAS ACESSÍVEIS,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825"/>
        <w:gridCol w:w="2550"/>
        <w:gridCol w:w="1410"/>
        <w:gridCol w:w="2415"/>
        <w:tblGridChange w:id="0">
          <w:tblGrid>
            <w:gridCol w:w="2145"/>
            <w:gridCol w:w="825"/>
            <w:gridCol w:w="2550"/>
            <w:gridCol w:w="1410"/>
            <w:gridCol w:w="241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5751 - IMPLEMENTAÇÃO DE CALÇADAS ACESSÍVEIS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452 - SERVIÇOS URBANOS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URBANISMO E MOBILIDADE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NA EMENDA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200.000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800.000,00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800.000,00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27.789.537,41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B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Implementar rampas de acessibilidade, com o objetivo de tornar as calçadas mais seguras e acessíveis, em especial para as pessoas com deficiência e/ou mobilidade reduzida é de fundamental importância, além de garantir o direito de ir e vir aos mesmos.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Assim, é fundamental a majoração de verba para ampliação de calçadas acessíveis em nossa cidade.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implementação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Y33byoJYpJhrupVRWviCZYAQ/Q==">CgMxLjA4AHIhMW1Db3A2ODhUSXlSWGFDaERXU2xqSzlQTy1iRHI0Xzhn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