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24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IMPLEMENTAÇÃO, OPERACIONALIZAÇÃO, E MANUTENÇÃO DO SISTEMA DE VERIFICAÇÃO DE ÓBITO (SVO)  no Projeto de Lei nº 193/2023</w:t>
      </w:r>
    </w:p>
    <w:p w:rsidR="00000000" w:rsidDel="00000000" w:rsidP="00000000" w:rsidRDefault="00000000" w:rsidRPr="00000000" w14:paraId="00000006">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after="1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adicionada ação orçamentária </w:t>
      </w:r>
      <w:r w:rsidDel="00000000" w:rsidR="00000000" w:rsidRPr="00000000">
        <w:rPr>
          <w:rFonts w:ascii="Times New Roman" w:cs="Times New Roman" w:eastAsia="Times New Roman" w:hAnsi="Times New Roman"/>
          <w:b w:val="1"/>
          <w:rtl w:val="0"/>
        </w:rPr>
        <w:t xml:space="preserve">IMPLEMENTAÇÃO, OPERACIONALIZAÇÃO, E MANUTENÇÃO DO SISTEMA DE VERIFICAÇÃO DE ÓBITO (SVO)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ao Projeto de Lei Nº  193/ 2023, </w:t>
      </w:r>
      <w:r w:rsidDel="00000000" w:rsidR="00000000" w:rsidRPr="00000000">
        <w:rPr>
          <w:rFonts w:ascii="Times New Roman" w:cs="Times New Roman" w:eastAsia="Times New Roman" w:hAnsi="Times New Roman"/>
          <w:rtl w:val="0"/>
        </w:rPr>
        <w:t xml:space="preserve">conforme tabela abaixo:</w:t>
      </w:r>
      <w:r w:rsidDel="00000000" w:rsidR="00000000" w:rsidRPr="00000000">
        <w:rPr>
          <w:rtl w:val="0"/>
        </w:rPr>
      </w:r>
    </w:p>
    <w:tbl>
      <w:tblPr>
        <w:tblStyle w:val="Table1"/>
        <w:tblW w:w="9344.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454.0000000000005"/>
        <w:gridCol w:w="1209.0000000000005"/>
        <w:gridCol w:w="2045.9999999999995"/>
        <w:tblGridChange w:id="0">
          <w:tblGrid>
            <w:gridCol w:w="2151"/>
            <w:gridCol w:w="1484"/>
            <w:gridCol w:w="2454.0000000000005"/>
            <w:gridCol w:w="1209.0000000000005"/>
            <w:gridCol w:w="2045.9999999999995"/>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8">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9">
            <w:pPr>
              <w:spacing w:after="0" w:line="240" w:lineRule="auto"/>
              <w:rPr>
                <w:sz w:val="18"/>
                <w:szCs w:val="18"/>
              </w:rPr>
            </w:pPr>
            <w:r w:rsidDel="00000000" w:rsidR="00000000" w:rsidRPr="00000000">
              <w:rPr>
                <w:sz w:val="18"/>
                <w:szCs w:val="18"/>
                <w:rtl w:val="0"/>
              </w:rPr>
              <w:t xml:space="preserve">0133 - ATENÇÃO À SAÚDE</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D">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E">
            <w:pPr>
              <w:spacing w:after="0" w:line="240" w:lineRule="auto"/>
              <w:rPr>
                <w:sz w:val="18"/>
                <w:szCs w:val="18"/>
              </w:rPr>
            </w:pPr>
            <w:r w:rsidDel="00000000" w:rsidR="00000000" w:rsidRPr="00000000">
              <w:rPr>
                <w:sz w:val="18"/>
                <w:szCs w:val="18"/>
                <w:rtl w:val="0"/>
              </w:rPr>
              <w:t xml:space="preserve">IMPLEMENTAÇÃO, OPERACIONALIZAÇÃO, E MANUTENÇÃO DO SISTEMA DE VERIFICAÇÃO DE ÓBITO (SVO) </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2">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3">
            <w:pPr>
              <w:spacing w:after="0" w:line="240" w:lineRule="auto"/>
              <w:rPr>
                <w:sz w:val="18"/>
                <w:szCs w:val="18"/>
              </w:rPr>
            </w:pPr>
            <w:r w:rsidDel="00000000" w:rsidR="00000000" w:rsidRPr="00000000">
              <w:rPr>
                <w:sz w:val="18"/>
                <w:szCs w:val="18"/>
                <w:rtl w:val="0"/>
              </w:rPr>
              <w:t xml:space="preserve">IMPLEMENTAÇÃO, OPERACIONALIZAÇÃO, E MANUTENÇÃO DO SISTEMA DE VERIFICAÇÃO DE ÓBITO (SVO) </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7">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8">
            <w:pPr>
              <w:spacing w:after="0" w:line="240" w:lineRule="auto"/>
              <w:ind w:right="19.96062992126042"/>
              <w:rPr>
                <w:sz w:val="18"/>
                <w:szCs w:val="18"/>
              </w:rPr>
            </w:pPr>
            <w:r w:rsidDel="00000000" w:rsidR="00000000" w:rsidRPr="00000000">
              <w:rPr>
                <w:sz w:val="18"/>
                <w:szCs w:val="18"/>
                <w:rtl w:val="0"/>
              </w:rPr>
              <w:t xml:space="preserve"> 43 - FUNDO MUNICIPAL DE SAÚDE</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sz w:val="18"/>
                <w:szCs w:val="18"/>
                <w:rtl w:val="0"/>
              </w:rPr>
              <w:t xml:space="preserve">10 - SAÚDE</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sz w:val="18"/>
                <w:szCs w:val="18"/>
                <w:rtl w:val="0"/>
              </w:rPr>
              <w:t xml:space="preserve">301 - ATENÇÃO BÁSICA</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1">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6">
            <w:pPr>
              <w:spacing w:after="0" w:line="240" w:lineRule="auto"/>
              <w:jc w:val="center"/>
              <w:rPr>
                <w:b w:val="1"/>
                <w:sz w:val="18"/>
                <w:szCs w:val="18"/>
              </w:rPr>
            </w:pPr>
            <w:r w:rsidDel="00000000" w:rsidR="00000000" w:rsidRPr="00000000">
              <w:rPr>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7">
            <w:pPr>
              <w:spacing w:after="0" w:line="240" w:lineRule="auto"/>
              <w:jc w:val="center"/>
              <w:rPr>
                <w:sz w:val="18"/>
                <w:szCs w:val="18"/>
              </w:rPr>
            </w:pPr>
            <w:r w:rsidDel="00000000" w:rsidR="00000000" w:rsidRPr="00000000">
              <w:rPr>
                <w:sz w:val="18"/>
                <w:szCs w:val="18"/>
                <w:rtl w:val="0"/>
              </w:rPr>
              <w:t xml:space="preserve">R$ 1.000.000,00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rtl w:val="0"/>
              </w:rPr>
            </w:r>
          </w:p>
        </w:tc>
      </w:tr>
    </w:tbl>
    <w:p w:rsidR="00000000" w:rsidDel="00000000" w:rsidP="00000000" w:rsidRDefault="00000000" w:rsidRPr="00000000" w14:paraId="0000002B">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C">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D">
            <w:pPr>
              <w:spacing w:after="0" w:line="240" w:lineRule="auto"/>
              <w:rPr>
                <w:b w:val="1"/>
                <w:sz w:val="18"/>
                <w:szCs w:val="18"/>
              </w:rPr>
            </w:pPr>
            <w:bookmarkStart w:colFirst="0" w:colLast="0" w:name="_heading=h.gjdgxs" w:id="0"/>
            <w:bookmarkEnd w:id="0"/>
            <w:r w:rsidDel="00000000" w:rsidR="00000000" w:rsidRPr="00000000">
              <w:rPr>
                <w:b w:val="1"/>
                <w:sz w:val="18"/>
                <w:szCs w:val="18"/>
                <w:rtl w:val="0"/>
              </w:rPr>
              <w:t xml:space="preserve">ÓRGÃO/UNIDADE ORÇAMENTÁRIA </w:t>
            </w:r>
            <w:r w:rsidDel="00000000" w:rsidR="00000000" w:rsidRPr="00000000">
              <w:rPr>
                <w:sz w:val="18"/>
                <w:szCs w:val="18"/>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rFonts w:ascii="Calibri" w:cs="Calibri" w:eastAsia="Calibri" w:hAnsi="Calibri"/>
                <w:sz w:val="18"/>
                <w:szCs w:val="18"/>
              </w:rPr>
            </w:pPr>
            <w:r w:rsidDel="00000000" w:rsidR="00000000" w:rsidRPr="00000000">
              <w:rPr>
                <w:sz w:val="18"/>
                <w:szCs w:val="18"/>
                <w:rtl w:val="0"/>
              </w:rPr>
              <w:t xml:space="preserve">10.52</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b w:val="1"/>
                <w:sz w:val="18"/>
                <w:szCs w:val="18"/>
              </w:rPr>
            </w:pPr>
            <w:r w:rsidDel="00000000" w:rsidR="00000000" w:rsidRPr="00000000">
              <w:rPr>
                <w:b w:val="1"/>
                <w:sz w:val="18"/>
                <w:szCs w:val="18"/>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rFonts w:ascii="Calibri" w:cs="Calibri" w:eastAsia="Calibri" w:hAnsi="Calibri"/>
                <w:sz w:val="18"/>
                <w:szCs w:val="18"/>
              </w:rPr>
            </w:pPr>
            <w:r w:rsidDel="00000000" w:rsidR="00000000" w:rsidRPr="00000000">
              <w:rPr>
                <w:sz w:val="18"/>
                <w:szCs w:val="18"/>
                <w:rtl w:val="0"/>
              </w:rPr>
              <w:t xml:space="preserve">23.695.0138.6067 - GRANDES FESTIVIDADES E EVENTOS</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1">
            <w:pPr>
              <w:spacing w:after="0" w:line="240" w:lineRule="auto"/>
              <w:rPr>
                <w:sz w:val="18"/>
                <w:szCs w:val="18"/>
              </w:rPr>
            </w:pPr>
            <w:r w:rsidDel="00000000" w:rsidR="00000000" w:rsidRPr="00000000">
              <w:rPr>
                <w:b w:val="1"/>
                <w:sz w:val="18"/>
                <w:szCs w:val="18"/>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rFonts w:ascii="Calibri" w:cs="Calibri" w:eastAsia="Calibri" w:hAnsi="Calibri"/>
                <w:sz w:val="18"/>
                <w:szCs w:val="18"/>
              </w:rPr>
            </w:pPr>
            <w:r w:rsidDel="00000000" w:rsidR="00000000" w:rsidRPr="00000000">
              <w:rPr>
                <w:sz w:val="18"/>
                <w:szCs w:val="18"/>
                <w:rtl w:val="0"/>
              </w:rPr>
              <w:t xml:space="preserve">23.268.452,12</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sz w:val="18"/>
                <w:szCs w:val="18"/>
              </w:rPr>
            </w:pPr>
            <w:r w:rsidDel="00000000" w:rsidR="00000000" w:rsidRPr="00000000">
              <w:rPr>
                <w:sz w:val="18"/>
                <w:szCs w:val="18"/>
                <w:rtl w:val="0"/>
              </w:rPr>
              <w:t xml:space="preserve">R$ 1.000.000,00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b w:val="1"/>
                <w:sz w:val="18"/>
                <w:szCs w:val="18"/>
              </w:rPr>
            </w:pPr>
            <w:r w:rsidDel="00000000" w:rsidR="00000000" w:rsidRPr="00000000">
              <w:rPr>
                <w:b w:val="1"/>
                <w:sz w:val="18"/>
                <w:szCs w:val="18"/>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40" w:lineRule="auto"/>
              <w:rPr>
                <w:sz w:val="18"/>
                <w:szCs w:val="18"/>
              </w:rPr>
            </w:pPr>
            <w:r w:rsidDel="00000000" w:rsidR="00000000" w:rsidRPr="00000000">
              <w:rPr>
                <w:sz w:val="18"/>
                <w:szCs w:val="18"/>
                <w:rtl w:val="0"/>
              </w:rPr>
              <w:t xml:space="preserve">22.268.452,12</w:t>
            </w:r>
          </w:p>
        </w:tc>
      </w:tr>
    </w:tbl>
    <w:p w:rsidR="00000000" w:rsidDel="00000000" w:rsidP="00000000" w:rsidRDefault="00000000" w:rsidRPr="00000000" w14:paraId="00000037">
      <w:pPr>
        <w:spacing w:after="120" w:before="20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11 de dezembro de 2023.</w:t>
      </w:r>
    </w:p>
    <w:p w:rsidR="00000000" w:rsidDel="00000000" w:rsidP="00000000" w:rsidRDefault="00000000" w:rsidRPr="00000000" w14:paraId="00000038">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9">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A">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DANIEL MARQUES</w:t>
      </w:r>
    </w:p>
    <w:p w:rsidR="00000000" w:rsidDel="00000000" w:rsidP="00000000" w:rsidRDefault="00000000" w:rsidRPr="00000000" w14:paraId="0000003B">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C">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D">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E">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3F">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presente emenda visa assegurar a implementação, operacionalização, e manutenção do Sistema de Verificação de Óbito (SVO) no âmbito do município de Niterói.</w:t>
      </w:r>
    </w:p>
    <w:p w:rsidR="00000000" w:rsidDel="00000000" w:rsidP="00000000" w:rsidRDefault="00000000" w:rsidRPr="00000000" w14:paraId="00000041">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 Serviço de Verificação de Óbito (SVO) é um serviço de utilidade pública para emissão da Declaração de Óbito (DO) em casos de óbitos por causa natural, com ou sem assistência médica, ou na definição da causa de morte naqueles casos de interesse para saúde pública.</w:t>
      </w:r>
    </w:p>
    <w:p w:rsidR="00000000" w:rsidDel="00000000" w:rsidP="00000000" w:rsidRDefault="00000000" w:rsidRPr="00000000" w14:paraId="00000042">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 acordo com a redação dada pelo artigo 14º da Portaria MS 183/2014, o SVO tem por atribuição promover ações que proporcionem, via autópsia, esclarecimento da causa mortis de todos os óbitos, com ou sem assistência médica, sem elucidação diagnóstica, e em especial aqueles sob investigação.</w:t>
      </w:r>
    </w:p>
    <w:p w:rsidR="00000000" w:rsidDel="00000000" w:rsidP="00000000" w:rsidRDefault="00000000" w:rsidRPr="00000000" w14:paraId="00000043">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Hoje, a maioria dos mortos do município são encaminhados diretamente ao IML, o que causa transtornos e desgastes para as famílias e mais trabalho para a polícia. O SVO identifica as causas de óbitos no município e possibilitará que a Prefeitura tenha dados reais do que está causando a morte dos niteroienses e assim ajude a desenvolver políticas públicas voltadas à saúde. </w:t>
        <w:tab/>
      </w:r>
    </w:p>
    <w:p w:rsidR="00000000" w:rsidDel="00000000" w:rsidP="00000000" w:rsidRDefault="00000000" w:rsidRPr="00000000" w14:paraId="00000044">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Nesse diapasão apresentamos esta emenda, contando com a colaboração dos nobres pares para a aprovação da mesma.</w:t>
      </w:r>
    </w:p>
    <w:p w:rsidR="00000000" w:rsidDel="00000000" w:rsidP="00000000" w:rsidRDefault="00000000" w:rsidRPr="00000000" w14:paraId="00000045">
      <w:pPr>
        <w:spacing w:after="0" w:line="240" w:lineRule="auto"/>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6">
    <w:pPr>
      <w:tabs>
        <w:tab w:val="left" w:leader="none" w:pos="2930"/>
        <w:tab w:val="center" w:leader="none" w:pos="4702"/>
      </w:tabs>
      <w:spacing w:after="0" w:line="240" w:lineRule="auto"/>
      <w:jc w:val="center"/>
      <w:rPr>
        <w:rFonts w:ascii="Times New Roman" w:cs="Times New Roman" w:eastAsia="Times New Roman" w:hAnsi="Times New Roman"/>
        <w:color w:val="00000a"/>
        <w:sz w:val="28"/>
        <w:szCs w:val="28"/>
      </w:rPr>
    </w:pPr>
    <w:r w:rsidDel="00000000" w:rsidR="00000000" w:rsidRPr="00000000">
      <w:rPr>
        <w:rtl w:val="0"/>
      </w:rPr>
    </w:r>
  </w:p>
  <w:tbl>
    <w:tblPr>
      <w:tblStyle w:val="Table3"/>
      <w:tblW w:w="9648.0" w:type="dxa"/>
      <w:jc w:val="left"/>
      <w:tblLayout w:type="fixed"/>
      <w:tblLook w:val="0000"/>
    </w:tblPr>
    <w:tblGrid>
      <w:gridCol w:w="1726"/>
      <w:gridCol w:w="7922"/>
      <w:tblGridChange w:id="0">
        <w:tblGrid>
          <w:gridCol w:w="1726"/>
          <w:gridCol w:w="7922"/>
        </w:tblGrid>
      </w:tblGridChange>
    </w:tblGrid>
    <w:tr>
      <w:trPr>
        <w:cantSplit w:val="0"/>
        <w:trHeight w:val="1971" w:hRule="atLeast"/>
        <w:tblHeader w:val="0"/>
      </w:trPr>
      <w:tc>
        <w:tcPr>
          <w:shd w:fill="auto" w:val="clear"/>
        </w:tcPr>
        <w:p w:rsidR="00000000" w:rsidDel="00000000" w:rsidP="00000000" w:rsidRDefault="00000000" w:rsidRPr="00000000" w14:paraId="00000047">
          <w:pPr>
            <w:tabs>
              <w:tab w:val="center" w:leader="none" w:pos="4252"/>
              <w:tab w:val="right" w:leader="none" w:pos="8504"/>
            </w:tabs>
            <w:spacing w:after="0" w:line="240" w:lineRule="auto"/>
            <w:rPr>
              <w:rFonts w:ascii="Arial" w:cs="Arial" w:eastAsia="Arial" w:hAnsi="Arial"/>
              <w:color w:val="00000a"/>
            </w:rPr>
          </w:pPr>
          <w:r w:rsidDel="00000000" w:rsidR="00000000" w:rsidRPr="00000000">
            <w:rPr>
              <w:rFonts w:ascii="Times New Roman" w:cs="Times New Roman" w:eastAsia="Times New Roman" w:hAnsi="Times New Roman"/>
              <w:color w:val="00000a"/>
              <w:sz w:val="24"/>
              <w:szCs w:val="24"/>
            </w:rPr>
            <w:drawing>
              <wp:inline distB="0" distT="0" distL="0" distR="0">
                <wp:extent cx="952500" cy="11334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52500" cy="11334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48">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49">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4A">
          <w:pPr>
            <w:tabs>
              <w:tab w:val="center" w:leader="none" w:pos="4252"/>
              <w:tab w:val="right" w:leader="none" w:pos="8504"/>
            </w:tabs>
            <w:spacing w:after="0" w:line="240" w:lineRule="auto"/>
            <w:jc w:val="center"/>
            <w:rPr>
              <w:rFonts w:ascii="Tahoma" w:cs="Tahoma" w:eastAsia="Tahoma" w:hAnsi="Tahoma"/>
              <w:b w:val="1"/>
              <w:color w:val="00000a"/>
              <w:sz w:val="48"/>
              <w:szCs w:val="48"/>
            </w:rPr>
          </w:pPr>
          <w:r w:rsidDel="00000000" w:rsidR="00000000" w:rsidRPr="00000000">
            <w:rPr>
              <w:rFonts w:ascii="Tahoma" w:cs="Tahoma" w:eastAsia="Tahoma" w:hAnsi="Tahoma"/>
              <w:b w:val="1"/>
              <w:color w:val="00000a"/>
              <w:sz w:val="48"/>
              <w:szCs w:val="48"/>
              <w:rtl w:val="0"/>
            </w:rPr>
            <w:t xml:space="preserve">Câmara Municipal de Niterói</w:t>
          </w:r>
        </w:p>
        <w:p w:rsidR="00000000" w:rsidDel="00000000" w:rsidP="00000000" w:rsidRDefault="00000000" w:rsidRPr="00000000" w14:paraId="0000004B">
          <w:pPr>
            <w:tabs>
              <w:tab w:val="center" w:leader="none" w:pos="4252"/>
              <w:tab w:val="right" w:leader="none" w:pos="8504"/>
            </w:tabs>
            <w:spacing w:after="0" w:line="240" w:lineRule="auto"/>
            <w:jc w:val="center"/>
            <w:rPr>
              <w:rFonts w:ascii="Tahoma" w:cs="Tahoma" w:eastAsia="Tahoma" w:hAnsi="Tahoma"/>
              <w:color w:val="00000a"/>
              <w:sz w:val="4"/>
              <w:szCs w:val="4"/>
            </w:rPr>
          </w:pPr>
          <w:r w:rsidDel="00000000" w:rsidR="00000000" w:rsidRPr="00000000">
            <w:rPr>
              <w:rtl w:val="0"/>
            </w:rPr>
          </w:r>
        </w:p>
        <w:p w:rsidR="00000000" w:rsidDel="00000000" w:rsidP="00000000" w:rsidRDefault="00000000" w:rsidRPr="00000000" w14:paraId="0000004C">
          <w:pPr>
            <w:tabs>
              <w:tab w:val="center" w:leader="none" w:pos="4252"/>
              <w:tab w:val="right" w:leader="none" w:pos="8504"/>
            </w:tabs>
            <w:spacing w:after="0" w:line="240" w:lineRule="auto"/>
            <w:jc w:val="center"/>
            <w:rPr>
              <w:rFonts w:ascii="Tahoma" w:cs="Tahoma" w:eastAsia="Tahoma" w:hAnsi="Tahoma"/>
              <w:b w:val="1"/>
              <w:color w:val="00000a"/>
              <w:sz w:val="28"/>
              <w:szCs w:val="28"/>
            </w:rPr>
          </w:pPr>
          <w:r w:rsidDel="00000000" w:rsidR="00000000" w:rsidRPr="00000000">
            <w:rPr>
              <w:rFonts w:ascii="Tahoma" w:cs="Tahoma" w:eastAsia="Tahoma" w:hAnsi="Tahoma"/>
              <w:b w:val="1"/>
              <w:sz w:val="28"/>
              <w:szCs w:val="28"/>
              <w:rtl w:val="0"/>
            </w:rPr>
            <w:t xml:space="preserve">Gabinete Vereador Daniel Marques</w:t>
          </w:r>
          <w:r w:rsidDel="00000000" w:rsidR="00000000" w:rsidRPr="00000000">
            <w:rPr>
              <w:rtl w:val="0"/>
            </w:rPr>
          </w:r>
        </w:p>
      </w:tc>
    </w:tr>
  </w:tbl>
  <w:p w:rsidR="00000000" w:rsidDel="00000000" w:rsidP="00000000" w:rsidRDefault="00000000" w:rsidRPr="00000000" w14:paraId="0000004D">
    <w:pPr>
      <w:tabs>
        <w:tab w:val="center" w:leader="none" w:pos="4252"/>
        <w:tab w:val="right" w:leader="none" w:pos="8504"/>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jVKJ53v/ugXQwXfNTtIx8DZN3A==">CgMxLjAyCGguZ2pkZ3hzOAByITFuWFVWcWU1RkcwSXRvd09oUXljTUcyZ21HMkI2N1kwUA==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