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59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193/2023</w:t>
      </w:r>
    </w:p>
    <w:p w:rsidR="00000000" w:rsidDel="00000000" w:rsidP="00000000" w:rsidRDefault="00000000" w:rsidRPr="00000000" w14:paraId="00000002">
      <w:pPr>
        <w:spacing w:line="259" w:lineRule="auto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59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 ação Apoio à manutenção de grupos e companhias teatrais com atividades continuadas em Niterói no Projeto de Lei nº 193/2023</w:t>
      </w:r>
    </w:p>
    <w:p w:rsidR="00000000" w:rsidDel="00000000" w:rsidP="00000000" w:rsidRDefault="00000000" w:rsidRPr="00000000" w14:paraId="00000004">
      <w:pPr>
        <w:spacing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20" w:line="259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Fica adicionada ação orçamentária Apoio à manutenção de grupos e companhias teatrais com atividades continuadas em Niterói, ao Projeto de Lei Nº 193/ 2023, conforme tabela abaixo:</w:t>
      </w: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6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7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136 - Cultura é um Direito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Apoio à manutenção de grupos e companhias teatrais com atividades continuadas em 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000000" w:space="0" w:sz="4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Incentivar as companhias de teatro de Niterói com projetos de longo prazo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41.01 - Secretaria das Culturas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13 - Cultura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392 - Dif. Cultural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1F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00.000,00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9">
      <w:pPr>
        <w:spacing w:after="120"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10.52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23.695 0138.6067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23.268.452,12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400.000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FINAL PROPOSTO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22.868.452,12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5">
      <w:pPr>
        <w:spacing w:after="120" w:line="259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Sala das Sessões, 29 de novembro de 2023.</w:t>
      </w:r>
    </w:p>
    <w:p w:rsidR="00000000" w:rsidDel="00000000" w:rsidP="00000000" w:rsidRDefault="00000000" w:rsidRPr="00000000" w14:paraId="00000036">
      <w:pPr>
        <w:spacing w:after="120" w:line="259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Leonardo Giordano</w:t>
      </w:r>
    </w:p>
    <w:p w:rsidR="00000000" w:rsidDel="00000000" w:rsidP="00000000" w:rsidRDefault="00000000" w:rsidRPr="00000000" w14:paraId="00000038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</w:t>
      </w:r>
    </w:p>
    <w:p w:rsidR="00000000" w:rsidDel="00000000" w:rsidP="00000000" w:rsidRDefault="00000000" w:rsidRPr="00000000" w14:paraId="00000039">
      <w:pPr>
        <w:spacing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line="240" w:lineRule="auto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line="360" w:lineRule="auto"/>
        <w:ind w:firstLine="72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Essa emenda se justifica pela necessidade de fortalecer e garantir a sustentabilidade desses agentes culturais, reconhecendo o papel essencial que desempenham na promoção da cultura e no enriquecimento da vida cultural da cidade.</w:t>
      </w: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C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D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3E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